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0A92698" w:rsidR="008D6BD8" w:rsidRPr="00561678" w:rsidRDefault="00FD0FAB" w:rsidP="00E16920">
      <w:pPr>
        <w:contextualSpacing/>
        <w:jc w:val="center"/>
      </w:pPr>
      <w:r w:rsidRPr="00561678">
        <w:t>Запрос котировок №</w:t>
      </w:r>
      <w:r w:rsidR="0074011E">
        <w:rPr>
          <w:b/>
        </w:rPr>
        <w:t>61</w:t>
      </w:r>
      <w:r w:rsidR="00561678" w:rsidRPr="00493B8F">
        <w:rPr>
          <w:b/>
        </w:rPr>
        <w:t>/</w:t>
      </w:r>
      <w:r w:rsidR="00561678" w:rsidRPr="00561678">
        <w:rPr>
          <w:b/>
        </w:rPr>
        <w:t>2</w:t>
      </w:r>
      <w:r w:rsidR="000E50F5">
        <w:rPr>
          <w:b/>
        </w:rPr>
        <w:t>2</w:t>
      </w:r>
      <w:r w:rsidR="0074011E">
        <w:rPr>
          <w:b/>
        </w:rPr>
        <w:t>140508007</w:t>
      </w:r>
    </w:p>
    <w:p w14:paraId="77390CFE" w14:textId="4A179261"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B9632D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4E276D">
        <w:rPr>
          <w:rFonts w:eastAsia="Andale Sans UI"/>
          <w:color w:val="000000"/>
          <w:kern w:val="1"/>
          <w:lang w:eastAsia="zh-CN"/>
        </w:rPr>
        <w:t>Пасагина</w:t>
      </w:r>
      <w:proofErr w:type="spellEnd"/>
      <w:r w:rsidR="004E276D">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74011E">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470DBE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B2670CE" w:rsidR="002D7711" w:rsidRDefault="006533A5" w:rsidP="00493B8F">
      <w:pPr>
        <w:jc w:val="both"/>
        <w:rPr>
          <w:rFonts w:eastAsia="Calibri"/>
          <w:lang w:eastAsia="en-US"/>
        </w:rPr>
      </w:pPr>
      <w:r w:rsidRPr="007969A7">
        <w:t>Наименование товара:</w:t>
      </w:r>
      <w:r>
        <w:t xml:space="preserve">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3D4C3CF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74011E">
        <w:rPr>
          <w:b/>
          <w:lang w:eastAsia="en-US"/>
        </w:rPr>
        <w:t>133 735</w:t>
      </w:r>
      <w:r w:rsidR="000E50F5" w:rsidRPr="002B77FD">
        <w:rPr>
          <w:b/>
          <w:bCs/>
          <w:lang w:eastAsia="en-US"/>
        </w:rPr>
        <w:t xml:space="preserve"> (</w:t>
      </w:r>
      <w:r w:rsidR="000E50F5">
        <w:rPr>
          <w:b/>
          <w:bCs/>
          <w:lang w:eastAsia="en-US"/>
        </w:rPr>
        <w:t>Сто</w:t>
      </w:r>
      <w:r w:rsidR="0074011E">
        <w:rPr>
          <w:b/>
          <w:bCs/>
          <w:lang w:eastAsia="en-US"/>
        </w:rPr>
        <w:t xml:space="preserve"> тридцать три тысячи семьсот тридцать пять</w:t>
      </w:r>
      <w:r w:rsidR="000E50F5">
        <w:rPr>
          <w:b/>
          <w:bCs/>
          <w:lang w:eastAsia="en-US"/>
        </w:rPr>
        <w:t>) рублей</w:t>
      </w:r>
      <w:r w:rsidR="000E50F5" w:rsidRPr="002B77FD">
        <w:rPr>
          <w:b/>
          <w:bCs/>
          <w:lang w:eastAsia="en-US"/>
        </w:rPr>
        <w:t xml:space="preserve"> </w:t>
      </w:r>
      <w:r w:rsidR="0074011E">
        <w:rPr>
          <w:b/>
          <w:bCs/>
          <w:lang w:eastAsia="en-US"/>
        </w:rPr>
        <w:t>16</w:t>
      </w:r>
      <w:r w:rsidR="000E50F5" w:rsidRPr="002B77FD">
        <w:rPr>
          <w:b/>
          <w:bCs/>
          <w:lang w:eastAsia="en-US"/>
        </w:rPr>
        <w:t xml:space="preserve"> копе</w:t>
      </w:r>
      <w:r w:rsidR="0074011E">
        <w:rPr>
          <w:b/>
          <w:bCs/>
          <w:lang w:eastAsia="en-U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7150AEF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74011E">
        <w:rPr>
          <w:b/>
          <w:bCs/>
          <w:sz w:val="24"/>
          <w:szCs w:val="28"/>
        </w:rPr>
        <w:t>09</w:t>
      </w:r>
      <w:r w:rsidR="008C4AC3" w:rsidRPr="00114FBB">
        <w:rPr>
          <w:b/>
          <w:bCs/>
          <w:sz w:val="24"/>
          <w:szCs w:val="28"/>
        </w:rPr>
        <w:t>.</w:t>
      </w:r>
      <w:r w:rsidR="005C4FF0">
        <w:rPr>
          <w:b/>
          <w:bCs/>
          <w:sz w:val="24"/>
          <w:szCs w:val="28"/>
        </w:rPr>
        <w:t>0</w:t>
      </w:r>
      <w:r w:rsidR="0074011E">
        <w:rPr>
          <w:b/>
          <w:bCs/>
          <w:sz w:val="24"/>
          <w:szCs w:val="28"/>
        </w:rPr>
        <w:t>9</w:t>
      </w:r>
      <w:r w:rsidR="002E18FE" w:rsidRPr="00114FBB">
        <w:rPr>
          <w:b/>
          <w:bCs/>
          <w:sz w:val="24"/>
          <w:szCs w:val="28"/>
        </w:rPr>
        <w:t>.202</w:t>
      </w:r>
      <w:r w:rsidR="000E50F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ACE5C1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74011E">
        <w:rPr>
          <w:b/>
          <w:bCs/>
          <w:sz w:val="24"/>
          <w:szCs w:val="28"/>
        </w:rPr>
        <w:t>16</w:t>
      </w:r>
      <w:r w:rsidR="008C4AC3" w:rsidRPr="00114FBB">
        <w:rPr>
          <w:b/>
          <w:bCs/>
          <w:sz w:val="24"/>
          <w:szCs w:val="28"/>
        </w:rPr>
        <w:t>.</w:t>
      </w:r>
      <w:r w:rsidR="0074011E">
        <w:rPr>
          <w:b/>
          <w:bCs/>
          <w:sz w:val="24"/>
          <w:szCs w:val="28"/>
        </w:rPr>
        <w:t>09</w:t>
      </w:r>
      <w:r w:rsidRPr="00114FBB">
        <w:rPr>
          <w:b/>
          <w:bCs/>
          <w:sz w:val="24"/>
          <w:szCs w:val="28"/>
        </w:rPr>
        <w:t>.20</w:t>
      </w:r>
      <w:r w:rsidR="002E18FE" w:rsidRPr="00114FBB">
        <w:rPr>
          <w:b/>
          <w:bCs/>
          <w:sz w:val="24"/>
          <w:szCs w:val="28"/>
        </w:rPr>
        <w:t>2</w:t>
      </w:r>
      <w:r w:rsidR="000E50F5">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C98E9FA"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74011E">
        <w:rPr>
          <w:b/>
          <w:bCs/>
          <w:sz w:val="24"/>
          <w:szCs w:val="28"/>
        </w:rPr>
        <w:t>16</w:t>
      </w:r>
      <w:r w:rsidR="000E50F5" w:rsidRPr="00114FBB">
        <w:rPr>
          <w:b/>
          <w:bCs/>
          <w:sz w:val="24"/>
          <w:szCs w:val="28"/>
        </w:rPr>
        <w:t>.</w:t>
      </w:r>
      <w:r w:rsidR="0074011E">
        <w:rPr>
          <w:b/>
          <w:bCs/>
          <w:sz w:val="24"/>
          <w:szCs w:val="28"/>
        </w:rPr>
        <w:t>09</w:t>
      </w:r>
      <w:r w:rsidR="000E50F5" w:rsidRPr="00114FBB">
        <w:rPr>
          <w:b/>
          <w:bCs/>
          <w:sz w:val="24"/>
          <w:szCs w:val="28"/>
        </w:rPr>
        <w:t>.202</w:t>
      </w:r>
      <w:r w:rsidR="000E50F5">
        <w:rPr>
          <w:b/>
          <w:bCs/>
          <w:sz w:val="24"/>
          <w:szCs w:val="28"/>
        </w:rPr>
        <w:t>2</w:t>
      </w:r>
      <w:r w:rsidR="000E50F5"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228BBE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74011E">
        <w:rPr>
          <w:b/>
          <w:bCs/>
          <w:sz w:val="24"/>
          <w:szCs w:val="28"/>
        </w:rPr>
        <w:t>16</w:t>
      </w:r>
      <w:r w:rsidR="000E50F5" w:rsidRPr="00114FBB">
        <w:rPr>
          <w:b/>
          <w:bCs/>
          <w:sz w:val="24"/>
          <w:szCs w:val="28"/>
        </w:rPr>
        <w:t>.</w:t>
      </w:r>
      <w:r w:rsidR="0074011E">
        <w:rPr>
          <w:b/>
          <w:bCs/>
          <w:sz w:val="24"/>
          <w:szCs w:val="28"/>
        </w:rPr>
        <w:t>09</w:t>
      </w:r>
      <w:r w:rsidR="000E50F5" w:rsidRPr="00114FBB">
        <w:rPr>
          <w:b/>
          <w:bCs/>
          <w:sz w:val="24"/>
          <w:szCs w:val="28"/>
        </w:rPr>
        <w:t>.202</w:t>
      </w:r>
      <w:r w:rsidR="000E50F5">
        <w:rPr>
          <w:b/>
          <w:bCs/>
          <w:sz w:val="24"/>
          <w:szCs w:val="28"/>
        </w:rPr>
        <w:t>2</w:t>
      </w:r>
      <w:r w:rsidR="000E50F5"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E6F137C"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74011E">
        <w:rPr>
          <w:b/>
          <w:bCs/>
          <w:sz w:val="24"/>
          <w:szCs w:val="28"/>
        </w:rPr>
        <w:t>16</w:t>
      </w:r>
      <w:r w:rsidR="000E50F5" w:rsidRPr="00114FBB">
        <w:rPr>
          <w:b/>
          <w:bCs/>
          <w:sz w:val="24"/>
          <w:szCs w:val="28"/>
        </w:rPr>
        <w:t>.</w:t>
      </w:r>
      <w:r w:rsidR="0074011E">
        <w:rPr>
          <w:b/>
          <w:bCs/>
          <w:sz w:val="24"/>
          <w:szCs w:val="28"/>
        </w:rPr>
        <w:t>09</w:t>
      </w:r>
      <w:r w:rsidR="000E50F5" w:rsidRPr="00114FBB">
        <w:rPr>
          <w:b/>
          <w:bCs/>
          <w:sz w:val="24"/>
          <w:szCs w:val="28"/>
        </w:rPr>
        <w:t>.202</w:t>
      </w:r>
      <w:r w:rsidR="000E50F5">
        <w:rPr>
          <w:b/>
          <w:bCs/>
          <w:sz w:val="24"/>
          <w:szCs w:val="28"/>
        </w:rPr>
        <w:t>2</w:t>
      </w:r>
      <w:r w:rsidR="000E50F5"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D4116B" w:rsidRPr="00D4116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D4116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w:t>
      </w:r>
      <w:r w:rsidRPr="002D7711">
        <w:rPr>
          <w:sz w:val="20"/>
        </w:rPr>
        <w:lastRenderedPageBreak/>
        <w:t>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D4116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D4116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выписка из единого государственного реестра юридических лиц, выданная регистрирующим органом не ранее </w:t>
      </w:r>
      <w:r w:rsidRPr="002D7711">
        <w:rPr>
          <w:sz w:val="20"/>
          <w:highlight w:val="lightGray"/>
        </w:rPr>
        <w:lastRenderedPageBreak/>
        <w:t>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2D7711">
        <w:rPr>
          <w:sz w:val="20"/>
        </w:rPr>
        <w:lastRenderedPageBreak/>
        <w:t>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62B3D2FD" w:rsidR="00BA58C9" w:rsidRPr="00114FBB" w:rsidRDefault="008D5A7D" w:rsidP="00BA58C9">
      <w:r w:rsidRPr="00114FBB">
        <w:t xml:space="preserve">                </w:t>
      </w:r>
      <w:r w:rsidR="0074011E">
        <w:t>И. о. п</w:t>
      </w:r>
      <w:r w:rsidR="00C40BE6" w:rsidRPr="00114FBB">
        <w:t>редседател</w:t>
      </w:r>
      <w:r w:rsidR="0074011E">
        <w:t>я</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74011E">
        <w:t xml:space="preserve">Г.Ш. </w:t>
      </w:r>
      <w:proofErr w:type="spellStart"/>
      <w:r w:rsidR="0074011E">
        <w:t>Чалдаева</w:t>
      </w:r>
      <w:proofErr w:type="spellEnd"/>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418DAA3A" w:rsidR="00313DC0" w:rsidRPr="004A7484" w:rsidRDefault="00313DC0" w:rsidP="00313DC0">
      <w:pPr>
        <w:rPr>
          <w:sz w:val="22"/>
          <w:szCs w:val="22"/>
        </w:rPr>
      </w:pPr>
      <w:r>
        <w:rPr>
          <w:sz w:val="22"/>
          <w:szCs w:val="22"/>
        </w:rPr>
        <w:t>от «______» ____________202</w:t>
      </w:r>
      <w:r w:rsidR="002C5609">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B4276FB"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74011E">
        <w:rPr>
          <w:sz w:val="22"/>
          <w:szCs w:val="22"/>
        </w:rPr>
        <w:t>61</w:t>
      </w:r>
      <w:r w:rsidR="00132A0C">
        <w:rPr>
          <w:sz w:val="22"/>
          <w:szCs w:val="22"/>
        </w:rPr>
        <w:t>/2</w:t>
      </w:r>
      <w:r w:rsidR="002C5609">
        <w:rPr>
          <w:sz w:val="22"/>
          <w:szCs w:val="22"/>
        </w:rPr>
        <w:t>2</w:t>
      </w:r>
      <w:r w:rsidR="0074011E">
        <w:rPr>
          <w:sz w:val="22"/>
          <w:szCs w:val="22"/>
        </w:rPr>
        <w:t>140508007</w:t>
      </w:r>
      <w:r w:rsidR="00E60092">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2C5609">
      <w:pPr>
        <w:pStyle w:val="5"/>
        <w:ind w:firstLine="3261"/>
        <w:jc w:val="right"/>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2C5609">
      <w:pPr>
        <w:ind w:left="8364"/>
        <w:jc w:val="right"/>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74011E" w:rsidRPr="00EC637D" w14:paraId="18539F99"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FCA8886" w14:textId="6C90D798" w:rsidR="0074011E" w:rsidRPr="00EC637D" w:rsidRDefault="0074011E" w:rsidP="004C5780">
            <w:pPr>
              <w:jc w:val="center"/>
            </w:pPr>
            <w:r>
              <w:rPr>
                <w:rFonts w:ascii="Calibri" w:hAnsi="Calibri" w:cs="Arial CYR"/>
                <w:color w:val="000000"/>
                <w:sz w:val="22"/>
                <w:szCs w:val="22"/>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02D94359" w:rsidR="0074011E" w:rsidRPr="00EC637D" w:rsidRDefault="0074011E" w:rsidP="003F07B8">
            <w:pPr>
              <w:rPr>
                <w:color w:val="000000"/>
              </w:rPr>
            </w:pPr>
            <w:r>
              <w:rPr>
                <w:color w:val="000000"/>
              </w:rPr>
              <w:t>Блок для записи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555B3591" w:rsidR="0074011E" w:rsidRPr="00EC637D"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5799FAF" w:rsidR="0074011E" w:rsidRPr="00EC637D" w:rsidRDefault="0074011E"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3C66D8A" w:rsidR="0074011E" w:rsidRPr="00EC637D" w:rsidRDefault="0074011E" w:rsidP="004C5780">
            <w:pPr>
              <w:jc w:val="center"/>
            </w:pPr>
            <w:r>
              <w:t>23,07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D431DC9" w:rsidR="0074011E" w:rsidRPr="00EC637D" w:rsidRDefault="0074011E" w:rsidP="004C5780">
            <w:pPr>
              <w:jc w:val="center"/>
            </w:pPr>
            <w:r>
              <w:t>230,70</w:t>
            </w:r>
          </w:p>
        </w:tc>
      </w:tr>
      <w:tr w:rsidR="0074011E" w:rsidRPr="00EC637D" w14:paraId="712200CA"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053F99" w14:textId="571814A9" w:rsidR="0074011E" w:rsidRPr="00EC637D" w:rsidRDefault="0074011E" w:rsidP="004C5780">
            <w:pPr>
              <w:jc w:val="center"/>
            </w:pPr>
            <w:r>
              <w:rPr>
                <w:rFonts w:ascii="Calibri" w:hAnsi="Calibri" w:cs="Arial CYR"/>
                <w:color w:val="000000"/>
                <w:sz w:val="22"/>
                <w:szCs w:val="22"/>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6E4096AF" w:rsidR="0074011E" w:rsidRPr="003F07B8" w:rsidRDefault="0074011E" w:rsidP="005C4FF0">
            <w:r>
              <w:rPr>
                <w:color w:val="000000"/>
              </w:rPr>
              <w:t>Клей-карандаш, 15гр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7F51B004"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50A7A826" w:rsidR="0074011E" w:rsidRDefault="0074011E"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553969F6" w:rsidR="0074011E" w:rsidRDefault="0074011E" w:rsidP="004C5780">
            <w:pPr>
              <w:jc w:val="center"/>
            </w:pPr>
            <w:r>
              <w:t>12,71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367D8686" w:rsidR="0074011E" w:rsidRDefault="0074011E" w:rsidP="004C5780">
            <w:pPr>
              <w:jc w:val="center"/>
            </w:pPr>
            <w:r>
              <w:t>190,65</w:t>
            </w:r>
          </w:p>
        </w:tc>
      </w:tr>
      <w:tr w:rsidR="0074011E" w:rsidRPr="00EC637D" w14:paraId="33FDF2BD"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190FE8C" w14:textId="37C3B72B" w:rsidR="0074011E" w:rsidRDefault="0074011E" w:rsidP="004C5780">
            <w:pPr>
              <w:jc w:val="center"/>
            </w:pPr>
            <w:r>
              <w:rPr>
                <w:rFonts w:ascii="Calibri" w:hAnsi="Calibri" w:cs="Arial CYR"/>
                <w:color w:val="000000"/>
                <w:sz w:val="22"/>
                <w:szCs w:val="22"/>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74683E35" w:rsidR="0074011E" w:rsidRPr="003F07B8" w:rsidRDefault="0074011E" w:rsidP="005C4FF0">
            <w:r>
              <w:rPr>
                <w:color w:val="000000"/>
              </w:rPr>
              <w:t>Клей силикатный "</w:t>
            </w:r>
            <w:proofErr w:type="spellStart"/>
            <w:r>
              <w:rPr>
                <w:color w:val="000000"/>
              </w:rPr>
              <w:t>Экспоприбор</w:t>
            </w:r>
            <w:proofErr w:type="spellEnd"/>
            <w:r>
              <w:rPr>
                <w:color w:val="000000"/>
              </w:rPr>
              <w:t xml:space="preserve">", 90 </w:t>
            </w:r>
            <w:proofErr w:type="spellStart"/>
            <w:r>
              <w:rPr>
                <w:color w:val="000000"/>
              </w:rPr>
              <w:t>гр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0AE837E2"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249F0D92" w:rsidR="0074011E" w:rsidRDefault="0074011E" w:rsidP="004C5780">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0153EA04" w:rsidR="0074011E" w:rsidRDefault="0074011E" w:rsidP="004C5780">
            <w:pPr>
              <w:jc w:val="center"/>
            </w:pPr>
            <w:r>
              <w:t>11,60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4427572F" w:rsidR="0074011E" w:rsidRDefault="0074011E" w:rsidP="004C5780">
            <w:pPr>
              <w:jc w:val="center"/>
            </w:pPr>
            <w:r>
              <w:t>2 320,00</w:t>
            </w:r>
          </w:p>
        </w:tc>
      </w:tr>
      <w:tr w:rsidR="0074011E" w:rsidRPr="00EC637D" w14:paraId="23B383F7"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04CACF" w14:textId="1BA42A17" w:rsidR="0074011E" w:rsidRDefault="0074011E" w:rsidP="004C5780">
            <w:pPr>
              <w:jc w:val="center"/>
            </w:pPr>
            <w:r>
              <w:rPr>
                <w:rFonts w:ascii="Calibri" w:hAnsi="Calibri" w:cs="Arial CYR"/>
                <w:color w:val="000000"/>
                <w:sz w:val="22"/>
                <w:szCs w:val="22"/>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28D14FD7" w:rsidR="0074011E" w:rsidRPr="003F07B8" w:rsidRDefault="0074011E" w:rsidP="003F07B8">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75мм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702B484B"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7DBA3DBA" w:rsidR="0074011E" w:rsidRDefault="0074011E"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7C67D857" w:rsidR="0074011E" w:rsidRDefault="0074011E" w:rsidP="004C5780">
            <w:pPr>
              <w:jc w:val="center"/>
            </w:pPr>
            <w:r>
              <w:t>167,01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5B9C8E79" w:rsidR="0074011E" w:rsidRDefault="0074011E" w:rsidP="004C5780">
            <w:pPr>
              <w:jc w:val="center"/>
            </w:pPr>
            <w:r>
              <w:t>3 340,20</w:t>
            </w:r>
          </w:p>
        </w:tc>
      </w:tr>
      <w:tr w:rsidR="0074011E" w:rsidRPr="00EC637D" w14:paraId="5BC9201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9DCF1CA" w14:textId="11AE90B8" w:rsidR="0074011E" w:rsidRDefault="0074011E" w:rsidP="004C5780">
            <w:pPr>
              <w:jc w:val="center"/>
            </w:pPr>
            <w:r>
              <w:rPr>
                <w:rFonts w:ascii="Calibri" w:hAnsi="Calibri" w:cs="Arial CYR"/>
                <w:color w:val="000000"/>
                <w:sz w:val="22"/>
                <w:szCs w:val="22"/>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2C25931A" w:rsidR="0074011E" w:rsidRPr="003F07B8" w:rsidRDefault="0074011E" w:rsidP="003F07B8">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85мм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4AA1F893"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43AE0242" w:rsidR="0074011E" w:rsidRDefault="0074011E"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4DC5E8C7" w:rsidR="0074011E" w:rsidRDefault="0074011E" w:rsidP="004C5780">
            <w:pPr>
              <w:jc w:val="center"/>
            </w:pPr>
            <w:r>
              <w:t>167,01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051F3D63" w:rsidR="0074011E" w:rsidRDefault="0074011E" w:rsidP="004C5780">
            <w:pPr>
              <w:jc w:val="center"/>
            </w:pPr>
            <w:r>
              <w:t>3 340,20</w:t>
            </w:r>
          </w:p>
        </w:tc>
      </w:tr>
      <w:tr w:rsidR="0074011E" w:rsidRPr="00EC637D" w14:paraId="540A668B"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6EA3A5B" w14:textId="268EAD2D" w:rsidR="0074011E" w:rsidRDefault="0074011E" w:rsidP="004C5780">
            <w:pPr>
              <w:jc w:val="center"/>
            </w:pPr>
            <w:r>
              <w:rPr>
                <w:rFonts w:ascii="Calibri" w:hAnsi="Calibri" w:cs="Arial CYR"/>
                <w:color w:val="000000"/>
                <w:sz w:val="22"/>
                <w:szCs w:val="22"/>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7D839EBD" w:rsidR="0074011E" w:rsidRPr="003F07B8" w:rsidRDefault="0074011E" w:rsidP="003F07B8">
            <w:r>
              <w:rPr>
                <w:color w:val="000000"/>
              </w:rPr>
              <w:t>Блок с клеевым краем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5ABBE210"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6E314097" w:rsidR="0074011E" w:rsidRDefault="0074011E"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12BFF9CC" w:rsidR="0074011E" w:rsidRDefault="0074011E" w:rsidP="004C5780">
            <w:pPr>
              <w:jc w:val="center"/>
            </w:pPr>
            <w:r>
              <w:t>37,69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224C7300" w:rsidR="0074011E" w:rsidRDefault="0074011E" w:rsidP="004C5780">
            <w:pPr>
              <w:jc w:val="center"/>
            </w:pPr>
            <w:r>
              <w:t>565,35</w:t>
            </w:r>
          </w:p>
        </w:tc>
      </w:tr>
      <w:tr w:rsidR="0074011E" w:rsidRPr="00EC637D" w14:paraId="60481CD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CC434" w14:textId="0744DE57" w:rsidR="0074011E" w:rsidRDefault="0074011E" w:rsidP="004C5780">
            <w:pPr>
              <w:jc w:val="center"/>
            </w:pPr>
            <w:r>
              <w:rPr>
                <w:rFonts w:ascii="Calibri" w:hAnsi="Calibri" w:cs="Arial CYR"/>
                <w:color w:val="000000"/>
                <w:sz w:val="22"/>
                <w:szCs w:val="22"/>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32600A61" w:rsidR="0074011E" w:rsidRPr="003F07B8" w:rsidRDefault="0074011E" w:rsidP="003F07B8">
            <w:r>
              <w:rPr>
                <w:color w:val="000000"/>
              </w:rPr>
              <w:t xml:space="preserve">Закладка </w:t>
            </w:r>
            <w:proofErr w:type="spellStart"/>
            <w:r>
              <w:rPr>
                <w:color w:val="000000"/>
              </w:rPr>
              <w:t>самоклеющая</w:t>
            </w:r>
            <w:proofErr w:type="spellEnd"/>
            <w:r>
              <w:rPr>
                <w:color w:val="000000"/>
              </w:rPr>
              <w:t xml:space="preserve"> пласт неон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46D23189"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623389CC" w:rsidR="0074011E" w:rsidRDefault="0074011E"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1F4D0DD1" w:rsidR="0074011E" w:rsidRDefault="0074011E" w:rsidP="004C5780">
            <w:pPr>
              <w:jc w:val="center"/>
            </w:pPr>
            <w:r>
              <w:t>18,26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0231F2D6" w:rsidR="0074011E" w:rsidRDefault="0074011E" w:rsidP="004C5780">
            <w:pPr>
              <w:jc w:val="center"/>
            </w:pPr>
            <w:r>
              <w:t>182,60</w:t>
            </w:r>
          </w:p>
        </w:tc>
      </w:tr>
      <w:tr w:rsidR="0074011E" w:rsidRPr="00EC637D" w14:paraId="5CDDC8E5"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881763" w14:textId="73507B3B" w:rsidR="0074011E" w:rsidRDefault="0074011E" w:rsidP="004C5780">
            <w:pPr>
              <w:jc w:val="center"/>
            </w:pPr>
            <w:r>
              <w:rPr>
                <w:rFonts w:ascii="Calibri" w:hAnsi="Calibri" w:cs="Arial CYR"/>
                <w:color w:val="000000"/>
                <w:sz w:val="22"/>
                <w:szCs w:val="22"/>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6E734DF6" w:rsidR="0074011E" w:rsidRPr="003F07B8" w:rsidRDefault="0074011E" w:rsidP="003F07B8">
            <w:r>
              <w:rPr>
                <w:color w:val="000000"/>
              </w:rPr>
              <w:t>Скоросшиватель пласт.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23895" w14:textId="4244AF54"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4C71498C" w:rsidR="0074011E" w:rsidRDefault="0074011E"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2BDC27FF" w:rsidR="0074011E" w:rsidRDefault="0074011E" w:rsidP="004C5780">
            <w:pPr>
              <w:jc w:val="center"/>
            </w:pPr>
            <w:r>
              <w:t>9,05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43A3699C" w:rsidR="0074011E" w:rsidRDefault="0074011E" w:rsidP="004C5780">
            <w:pPr>
              <w:jc w:val="center"/>
            </w:pPr>
            <w:r>
              <w:t>271,50</w:t>
            </w:r>
          </w:p>
        </w:tc>
      </w:tr>
      <w:tr w:rsidR="0074011E" w:rsidRPr="00EC637D" w14:paraId="45ED52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70CF82" w14:textId="6876FE8C" w:rsidR="0074011E" w:rsidRDefault="0074011E" w:rsidP="004C5780">
            <w:pPr>
              <w:jc w:val="center"/>
            </w:pPr>
            <w:r>
              <w:rPr>
                <w:rFonts w:ascii="Calibri" w:hAnsi="Calibri" w:cs="Arial CYR"/>
                <w:color w:val="000000"/>
                <w:sz w:val="22"/>
                <w:szCs w:val="22"/>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2E4ED223" w:rsidR="0074011E" w:rsidRPr="003F07B8" w:rsidRDefault="0074011E" w:rsidP="003F07B8">
            <w:r>
              <w:rPr>
                <w:color w:val="000000"/>
              </w:rPr>
              <w:t>Ручка шариковая синий стержень</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B54B" w14:textId="06E219B4"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1D225E49" w:rsidR="0074011E" w:rsidRDefault="0074011E" w:rsidP="004C5780">
            <w:pPr>
              <w:jc w:val="center"/>
            </w:pPr>
            <w: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21333A32" w:rsidR="0074011E" w:rsidRDefault="0074011E" w:rsidP="004C5780">
            <w:pPr>
              <w:jc w:val="center"/>
            </w:pPr>
            <w:r>
              <w:t>5,02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6CC0ECE4" w:rsidR="0074011E" w:rsidRDefault="0074011E" w:rsidP="004C5780">
            <w:pPr>
              <w:jc w:val="center"/>
            </w:pPr>
            <w:r>
              <w:t>1 004,00</w:t>
            </w:r>
          </w:p>
        </w:tc>
      </w:tr>
      <w:tr w:rsidR="0074011E" w:rsidRPr="00EC637D" w14:paraId="4384065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BFF2570" w14:textId="615AE2F8" w:rsidR="0074011E" w:rsidRDefault="0074011E" w:rsidP="004C5780">
            <w:pPr>
              <w:jc w:val="center"/>
            </w:pPr>
            <w:r>
              <w:rPr>
                <w:rFonts w:ascii="Calibri" w:hAnsi="Calibri" w:cs="Arial CYR"/>
                <w:color w:val="000000"/>
                <w:sz w:val="22"/>
                <w:szCs w:val="22"/>
              </w:rP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566C0A38" w:rsidR="0074011E" w:rsidRPr="003F07B8" w:rsidRDefault="0074011E" w:rsidP="003F07B8">
            <w:r>
              <w:rPr>
                <w:color w:val="000000"/>
              </w:rPr>
              <w:t xml:space="preserve">Стержень к шариковой ручке синий </w:t>
            </w:r>
            <w:proofErr w:type="spellStart"/>
            <w:r>
              <w:rPr>
                <w:color w:val="000000"/>
              </w:rPr>
              <w:t>масл</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52AB8" w14:textId="54BE8E7A"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57993F15" w:rsidR="0074011E" w:rsidRDefault="0074011E"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1B610A04" w:rsidR="0074011E" w:rsidRDefault="0074011E" w:rsidP="004C5780">
            <w:pPr>
              <w:jc w:val="center"/>
            </w:pPr>
            <w:r>
              <w:t>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60117D9E" w:rsidR="0074011E" w:rsidRDefault="0074011E" w:rsidP="004C5780">
            <w:pPr>
              <w:jc w:val="center"/>
            </w:pPr>
            <w:r>
              <w:t>200,00</w:t>
            </w:r>
          </w:p>
        </w:tc>
      </w:tr>
      <w:tr w:rsidR="0074011E" w:rsidRPr="00EC637D" w14:paraId="759D549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AF39178" w14:textId="101FEA35" w:rsidR="0074011E" w:rsidRDefault="0074011E" w:rsidP="004C5780">
            <w:pPr>
              <w:jc w:val="center"/>
            </w:pPr>
            <w:r>
              <w:rPr>
                <w:rFonts w:ascii="Calibri" w:hAnsi="Calibri" w:cs="Arial CYR"/>
                <w:color w:val="000000"/>
                <w:sz w:val="22"/>
                <w:szCs w:val="22"/>
              </w:rP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30E6F233" w:rsidR="0074011E" w:rsidRPr="003F07B8" w:rsidRDefault="0074011E" w:rsidP="003F07B8">
            <w:r>
              <w:rPr>
                <w:color w:val="000000"/>
              </w:rPr>
              <w:t>Ножницы</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9AEC21" w14:textId="4206AA5B" w:rsidR="0074011E" w:rsidRDefault="0074011E"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3C9ADBE3" w:rsidR="0074011E" w:rsidRDefault="0074011E"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06B6DA66" w:rsidR="0074011E" w:rsidRDefault="0074011E" w:rsidP="004C5780">
            <w:pPr>
              <w:jc w:val="center"/>
            </w:pPr>
            <w:r>
              <w:t>47,11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01D892C1" w:rsidR="0074011E" w:rsidRDefault="0074011E" w:rsidP="004C5780">
            <w:pPr>
              <w:jc w:val="center"/>
            </w:pPr>
            <w:r>
              <w:t>471,10</w:t>
            </w:r>
          </w:p>
        </w:tc>
      </w:tr>
      <w:tr w:rsidR="0074011E" w:rsidRPr="00EC637D" w14:paraId="06E7B25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41821E4" w14:textId="1BB5C03A" w:rsidR="0074011E" w:rsidRDefault="0074011E" w:rsidP="004C5780">
            <w:pPr>
              <w:jc w:val="center"/>
            </w:pPr>
            <w:r>
              <w:rPr>
                <w:rFonts w:ascii="Calibri" w:hAnsi="Calibri" w:cs="Arial CYR"/>
                <w:color w:val="000000"/>
                <w:sz w:val="22"/>
                <w:szCs w:val="22"/>
              </w:rP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90CE9" w14:textId="6E36673A" w:rsidR="0074011E" w:rsidRDefault="0074011E" w:rsidP="003F07B8">
            <w:pPr>
              <w:rPr>
                <w:color w:val="000000"/>
              </w:rPr>
            </w:pPr>
            <w:r>
              <w:rPr>
                <w:color w:val="000000"/>
              </w:rPr>
              <w:t>Скрепки канцелярские метал. 28мм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D0FB64" w14:textId="7A6F952C" w:rsidR="0074011E" w:rsidRDefault="0074011E"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4926BC" w14:textId="3BABF9CA" w:rsidR="0074011E" w:rsidRDefault="0074011E"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5FDA6D" w14:textId="0470BD84" w:rsidR="0074011E" w:rsidRDefault="0074011E" w:rsidP="004C5780">
            <w:pPr>
              <w:jc w:val="center"/>
            </w:pPr>
            <w:r>
              <w:t>11,66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B8986" w14:textId="692454E2" w:rsidR="0074011E" w:rsidRDefault="0074011E" w:rsidP="004C5780">
            <w:pPr>
              <w:jc w:val="center"/>
            </w:pPr>
            <w:r>
              <w:t>349,80</w:t>
            </w:r>
          </w:p>
        </w:tc>
      </w:tr>
      <w:tr w:rsidR="0074011E" w:rsidRPr="00EC637D" w14:paraId="2FF40BE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B0C910" w14:textId="4FD99908" w:rsidR="0074011E" w:rsidRDefault="0074011E" w:rsidP="004C5780">
            <w:pPr>
              <w:jc w:val="center"/>
            </w:pPr>
            <w:r>
              <w:rPr>
                <w:rFonts w:ascii="Calibri" w:hAnsi="Calibri" w:cs="Arial CYR"/>
                <w:color w:val="000000"/>
                <w:sz w:val="22"/>
                <w:szCs w:val="22"/>
              </w:rP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E130C" w14:textId="32BC00BD" w:rsidR="0074011E" w:rsidRDefault="0074011E" w:rsidP="003F07B8">
            <w:pPr>
              <w:rPr>
                <w:color w:val="000000"/>
              </w:rPr>
            </w:pPr>
            <w:r>
              <w:rPr>
                <w:color w:val="000000"/>
              </w:rPr>
              <w:t>Тетрадь 24л.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CDA1F4" w14:textId="06F7BCD8" w:rsidR="0074011E" w:rsidRDefault="0074011E"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CB0274" w14:textId="75A5BDDD" w:rsidR="0074011E" w:rsidRDefault="0074011E"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9FCE0" w14:textId="02FFE439" w:rsidR="0074011E" w:rsidRDefault="0074011E" w:rsidP="004C5780">
            <w:pPr>
              <w:jc w:val="center"/>
            </w:pPr>
            <w:r>
              <w:t>8,79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6E3F5" w14:textId="7B74DDD1" w:rsidR="0074011E" w:rsidRDefault="0074011E" w:rsidP="004C5780">
            <w:pPr>
              <w:jc w:val="center"/>
            </w:pPr>
            <w:r>
              <w:t>439,50</w:t>
            </w:r>
          </w:p>
        </w:tc>
      </w:tr>
      <w:tr w:rsidR="0074011E" w:rsidRPr="00EC637D" w14:paraId="7747AB61"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78F428" w14:textId="02757E19" w:rsidR="0074011E" w:rsidRDefault="0074011E" w:rsidP="004C5780">
            <w:pPr>
              <w:jc w:val="center"/>
            </w:pPr>
            <w:r>
              <w:rPr>
                <w:rFonts w:ascii="Calibri" w:hAnsi="Calibri" w:cs="Arial CYR"/>
                <w:color w:val="000000"/>
                <w:sz w:val="22"/>
                <w:szCs w:val="22"/>
              </w:rP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B838F" w14:textId="32E64DF7" w:rsidR="0074011E" w:rsidRDefault="0074011E" w:rsidP="003F07B8">
            <w:pPr>
              <w:rPr>
                <w:color w:val="000000"/>
              </w:rPr>
            </w:pPr>
            <w:r>
              <w:rPr>
                <w:color w:val="000000"/>
              </w:rPr>
              <w:t>Тетрадь общая 48л.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330DC5" w14:textId="4D9B7C21" w:rsidR="0074011E" w:rsidRDefault="0074011E"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A40C1F" w14:textId="0F023A90" w:rsidR="0074011E" w:rsidRDefault="0074011E"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71B4A9" w14:textId="7C0C5D6F" w:rsidR="0074011E" w:rsidRDefault="0074011E" w:rsidP="004C5780">
            <w:pPr>
              <w:jc w:val="center"/>
            </w:pPr>
            <w:r>
              <w:t>15,38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CA877" w14:textId="2456B45D" w:rsidR="0074011E" w:rsidRDefault="0074011E" w:rsidP="004C5780">
            <w:pPr>
              <w:jc w:val="center"/>
            </w:pPr>
            <w:r>
              <w:t>769,00</w:t>
            </w:r>
          </w:p>
        </w:tc>
      </w:tr>
      <w:tr w:rsidR="0074011E" w:rsidRPr="00EC637D" w14:paraId="70D64F9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3869364" w14:textId="1113C331" w:rsidR="0074011E" w:rsidRDefault="0074011E" w:rsidP="004C5780">
            <w:pPr>
              <w:jc w:val="center"/>
            </w:pPr>
            <w:r>
              <w:rPr>
                <w:rFonts w:ascii="Calibri" w:hAnsi="Calibri" w:cs="Arial CYR"/>
                <w:color w:val="000000"/>
                <w:sz w:val="22"/>
                <w:szCs w:val="22"/>
              </w:rP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10D37" w14:textId="4FF95BE8" w:rsidR="0074011E" w:rsidRDefault="0074011E" w:rsidP="003F07B8">
            <w:pPr>
              <w:rPr>
                <w:color w:val="000000"/>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F4BF0F" w14:textId="5218152E" w:rsidR="0074011E" w:rsidRDefault="0074011E"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52989C" w14:textId="3F44BCDE" w:rsidR="0074011E" w:rsidRDefault="0074011E" w:rsidP="004C5780">
            <w:pPr>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B583BE" w14:textId="4377556A" w:rsidR="0074011E" w:rsidRDefault="0074011E" w:rsidP="004C5780">
            <w:pPr>
              <w:jc w:val="center"/>
            </w:pPr>
            <w:r>
              <w:t>234,98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BFF85" w14:textId="3F80006B" w:rsidR="0074011E" w:rsidRDefault="0074011E" w:rsidP="004C5780">
            <w:pPr>
              <w:jc w:val="center"/>
            </w:pPr>
            <w:r>
              <w:t>1 644,86</w:t>
            </w:r>
          </w:p>
        </w:tc>
      </w:tr>
      <w:tr w:rsidR="0074011E" w:rsidRPr="00EC637D" w14:paraId="76E75A7F"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B7DECB" w14:textId="6B08E698" w:rsidR="0074011E" w:rsidRDefault="0074011E" w:rsidP="004C5780">
            <w:pPr>
              <w:jc w:val="center"/>
            </w:pPr>
            <w:r>
              <w:rPr>
                <w:rFonts w:ascii="Calibri" w:hAnsi="Calibri" w:cs="Arial CYR"/>
                <w:color w:val="000000"/>
                <w:sz w:val="22"/>
                <w:szCs w:val="22"/>
              </w:rP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AFFAA" w14:textId="5405D8BA" w:rsidR="0074011E" w:rsidRDefault="0074011E"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5F0882" w14:textId="46479D44" w:rsidR="0074011E" w:rsidRDefault="0074011E"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D61E7F" w14:textId="02D31231" w:rsidR="0074011E" w:rsidRDefault="0074011E"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5CBB9E" w14:textId="3627597F" w:rsidR="0074011E" w:rsidRDefault="0074011E" w:rsidP="004C5780">
            <w:pPr>
              <w:jc w:val="center"/>
            </w:pPr>
            <w:r>
              <w:t>9,28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5FD5" w14:textId="16E0B241" w:rsidR="0074011E" w:rsidRDefault="0074011E" w:rsidP="004C5780">
            <w:pPr>
              <w:jc w:val="center"/>
            </w:pPr>
            <w:r>
              <w:t>185,60</w:t>
            </w:r>
          </w:p>
        </w:tc>
      </w:tr>
      <w:tr w:rsidR="0074011E" w:rsidRPr="00EC637D" w14:paraId="5C9E364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87BE89" w14:textId="46C7D721" w:rsidR="0074011E" w:rsidRDefault="0074011E" w:rsidP="004C5780">
            <w:pPr>
              <w:jc w:val="center"/>
            </w:pPr>
            <w:r>
              <w:rPr>
                <w:rFonts w:ascii="Calibri" w:hAnsi="Calibri" w:cs="Arial CYR"/>
                <w:color w:val="000000"/>
                <w:sz w:val="22"/>
                <w:szCs w:val="22"/>
              </w:rP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5661D" w14:textId="771B876A" w:rsidR="0074011E" w:rsidRDefault="0074011E"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№24/6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B1FEF" w14:textId="0EC37144" w:rsidR="0074011E" w:rsidRDefault="0074011E"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14CC8B" w14:textId="6286732D" w:rsidR="0074011E" w:rsidRDefault="0074011E"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7DD98" w14:textId="25CD5447" w:rsidR="0074011E" w:rsidRDefault="0074011E" w:rsidP="004C5780">
            <w:pPr>
              <w:jc w:val="center"/>
            </w:pPr>
            <w:r>
              <w:t>7,03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CD5AD" w14:textId="6E8B3642" w:rsidR="0074011E" w:rsidRDefault="0074011E" w:rsidP="004C5780">
            <w:pPr>
              <w:jc w:val="center"/>
            </w:pPr>
            <w:r>
              <w:t>140,60</w:t>
            </w:r>
          </w:p>
        </w:tc>
      </w:tr>
      <w:tr w:rsidR="0074011E" w:rsidRPr="00EC637D" w14:paraId="6C42F7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C95E38B" w14:textId="7B94E8EC" w:rsidR="0074011E" w:rsidRDefault="0074011E" w:rsidP="004C5780">
            <w:pPr>
              <w:jc w:val="center"/>
            </w:pPr>
            <w:r>
              <w:rPr>
                <w:rFonts w:ascii="Calibri" w:hAnsi="Calibri" w:cs="Arial CYR"/>
                <w:color w:val="000000"/>
                <w:sz w:val="22"/>
                <w:szCs w:val="22"/>
              </w:rP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70E7B" w14:textId="4DC23924" w:rsidR="0074011E" w:rsidRDefault="0074011E"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.(80г/м2, белизна ISO 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036D5D" w14:textId="07235A26" w:rsidR="0074011E" w:rsidRDefault="0074011E"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8732BF" w14:textId="47BD6924" w:rsidR="0074011E" w:rsidRDefault="0074011E" w:rsidP="004C5780">
            <w:pPr>
              <w:jc w:val="center"/>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B29870" w14:textId="5ACDB6B4" w:rsidR="0074011E" w:rsidRDefault="0074011E" w:rsidP="004C5780">
            <w:pPr>
              <w:jc w:val="center"/>
            </w:pPr>
            <w:r>
              <w:t>273,93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ECC5D" w14:textId="3287E5FB" w:rsidR="0074011E" w:rsidRDefault="0074011E" w:rsidP="004C5780">
            <w:pPr>
              <w:jc w:val="center"/>
            </w:pPr>
            <w:r>
              <w:t>41 089,50</w:t>
            </w:r>
          </w:p>
        </w:tc>
      </w:tr>
      <w:tr w:rsidR="0074011E" w:rsidRPr="00EC637D" w14:paraId="617C8C3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0109E88" w14:textId="1AB8A112" w:rsidR="0074011E" w:rsidRDefault="0074011E" w:rsidP="004C5780">
            <w:pPr>
              <w:jc w:val="center"/>
            </w:pPr>
            <w:r>
              <w:rPr>
                <w:rFonts w:ascii="Calibri" w:hAnsi="Calibri" w:cs="Arial CYR"/>
                <w:color w:val="000000"/>
                <w:sz w:val="22"/>
                <w:szCs w:val="22"/>
              </w:rPr>
              <w:lastRenderedPageBreak/>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EC1E9" w14:textId="1EDD4CF1" w:rsidR="0074011E" w:rsidRDefault="0074011E"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 (80г/м2, белизна CIE 146%)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82072B" w14:textId="05627D8F" w:rsidR="0074011E" w:rsidRDefault="0074011E" w:rsidP="004C5780">
            <w:pPr>
              <w:jc w:val="cente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5A02D2" w14:textId="26D3C4F6" w:rsidR="0074011E" w:rsidRDefault="0074011E"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2AF20E" w14:textId="577EED92" w:rsidR="0074011E" w:rsidRDefault="0074011E" w:rsidP="004C5780">
            <w:pPr>
              <w:jc w:val="center"/>
            </w:pPr>
            <w:r>
              <w:t>308,00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4CCAB" w14:textId="55694482" w:rsidR="0074011E" w:rsidRDefault="0074011E" w:rsidP="004C5780">
            <w:pPr>
              <w:jc w:val="center"/>
            </w:pPr>
            <w:r>
              <w:t>77 000,00</w:t>
            </w:r>
          </w:p>
        </w:tc>
      </w:tr>
      <w:tr w:rsidR="00FF43F1"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FF43F1" w:rsidRPr="00EC637D" w:rsidRDefault="00FF43F1"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088F054B" w:rsidR="00FF43F1" w:rsidRPr="00EC637D" w:rsidRDefault="004E276D" w:rsidP="004C5780">
            <w:pPr>
              <w:jc w:val="center"/>
              <w:rPr>
                <w:b/>
              </w:rPr>
            </w:pPr>
            <w:r>
              <w:rPr>
                <w:b/>
              </w:rPr>
              <w:t>1</w:t>
            </w:r>
            <w:r w:rsidR="0074011E">
              <w:rPr>
                <w:b/>
              </w:rPr>
              <w:t>33 735,16</w:t>
            </w:r>
          </w:p>
        </w:tc>
      </w:tr>
      <w:tr w:rsidR="00FF43F1"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FF43F1" w:rsidRPr="00EC637D" w:rsidRDefault="00FF43F1" w:rsidP="004C5780">
            <w:pPr>
              <w:rPr>
                <w:b/>
                <w:bCs/>
              </w:rPr>
            </w:pPr>
            <w:r w:rsidRPr="00EC637D">
              <w:rPr>
                <w:b/>
                <w:bCs/>
              </w:rPr>
              <w:t>Порядок формирования начальной</w:t>
            </w:r>
          </w:p>
          <w:p w14:paraId="29FEC0B3" w14:textId="77777777" w:rsidR="00FF43F1" w:rsidRPr="00EC637D" w:rsidRDefault="00FF43F1"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FF43F1" w:rsidRPr="00EC637D" w:rsidRDefault="00FF43F1"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FF43F1"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FF43F1" w:rsidRPr="00EC637D" w:rsidRDefault="00FF43F1" w:rsidP="004C5780">
            <w:pPr>
              <w:rPr>
                <w:lang w:eastAsia="en-US"/>
              </w:rPr>
            </w:pPr>
            <w:r w:rsidRPr="00EC637D">
              <w:rPr>
                <w:b/>
                <w:bCs/>
                <w:lang w:val="en-US"/>
              </w:rPr>
              <w:t>2. Требования к товарам</w:t>
            </w:r>
          </w:p>
        </w:tc>
      </w:tr>
      <w:tr w:rsidR="0074011E"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59B6DE85" w:rsidR="0074011E" w:rsidRPr="00EC637D" w:rsidRDefault="0074011E" w:rsidP="000D04BB">
            <w:pPr>
              <w:jc w:val="center"/>
            </w:pPr>
            <w:r>
              <w:rPr>
                <w:rFonts w:ascii="Calibri" w:hAnsi="Calibri" w:cs="Arial CYR"/>
                <w:color w:val="000000"/>
                <w:sz w:val="22"/>
                <w:szCs w:val="22"/>
              </w:rPr>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59544ADF" w:rsidR="0074011E" w:rsidRPr="000D04BB" w:rsidRDefault="0074011E" w:rsidP="003F07B8">
            <w:pPr>
              <w:rPr>
                <w:color w:val="000000"/>
              </w:rPr>
            </w:pPr>
            <w:r>
              <w:rPr>
                <w:color w:val="000000"/>
              </w:rPr>
              <w:t>Блок для записи</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48996FF6" w:rsidR="0074011E" w:rsidRPr="005C4FF0" w:rsidRDefault="003E3C3A" w:rsidP="00AD192D">
            <w:pPr>
              <w:rPr>
                <w:sz w:val="22"/>
                <w:szCs w:val="22"/>
              </w:rPr>
            </w:pPr>
            <w:r>
              <w:rPr>
                <w:sz w:val="22"/>
                <w:szCs w:val="22"/>
              </w:rPr>
              <w:t>Блок для записи белый, размер 9*9*5 не склеенный 80г/м</w:t>
            </w:r>
            <w:proofErr w:type="gramStart"/>
            <w:r>
              <w:rPr>
                <w:sz w:val="22"/>
                <w:szCs w:val="22"/>
              </w:rPr>
              <w:t>2</w:t>
            </w:r>
            <w:proofErr w:type="gramEnd"/>
          </w:p>
        </w:tc>
      </w:tr>
      <w:tr w:rsidR="0074011E"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05208C81" w:rsidR="0074011E" w:rsidRPr="00EC637D" w:rsidRDefault="0074011E" w:rsidP="000D04BB">
            <w:pPr>
              <w:jc w:val="center"/>
            </w:pPr>
            <w:r>
              <w:rPr>
                <w:rFonts w:ascii="Calibri" w:hAnsi="Calibri" w:cs="Arial CYR"/>
                <w:color w:val="000000"/>
                <w:sz w:val="22"/>
                <w:szCs w:val="22"/>
              </w:rP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6CD8CB62" w:rsidR="0074011E" w:rsidRPr="000D04BB" w:rsidRDefault="0074011E" w:rsidP="005C4FF0">
            <w:pPr>
              <w:rPr>
                <w:color w:val="000000"/>
              </w:rPr>
            </w:pPr>
            <w:r>
              <w:rPr>
                <w:color w:val="000000"/>
              </w:rPr>
              <w:t>Клей-карандаш, 15гр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2D78E800" w:rsidR="0074011E" w:rsidRPr="006869E6" w:rsidRDefault="0074011E" w:rsidP="00AD192D">
            <w:pPr>
              <w:ind w:firstLine="35"/>
              <w:rPr>
                <w:sz w:val="22"/>
                <w:szCs w:val="22"/>
              </w:rPr>
            </w:pPr>
            <w:r w:rsidRPr="006869E6">
              <w:rPr>
                <w:rFonts w:eastAsia="Andale Sans UI"/>
                <w:kern w:val="1"/>
                <w:sz w:val="22"/>
                <w:szCs w:val="22"/>
                <w:lang w:eastAsia="zh-CN"/>
              </w:rPr>
              <w:t>Клей-карандаш предназначен для склеивания бумаги, картона, текстиля. Основа клея обладает мягкой структурой и содержит глицерин для легкого скольжения. Не имеет запаха. Вес не менее 15 г. Механизм, расположенный в основании стержня, позволяет легко выкрутить.</w:t>
            </w:r>
          </w:p>
        </w:tc>
      </w:tr>
      <w:tr w:rsidR="0074011E"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11EFF7EC" w:rsidR="0074011E" w:rsidRPr="00EC637D" w:rsidRDefault="0074011E" w:rsidP="000D04BB">
            <w:pPr>
              <w:jc w:val="center"/>
            </w:pPr>
            <w:r>
              <w:rPr>
                <w:rFonts w:ascii="Calibri" w:hAnsi="Calibri" w:cs="Arial CYR"/>
                <w:color w:val="000000"/>
                <w:sz w:val="22"/>
                <w:szCs w:val="22"/>
              </w:rP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05F20D20" w:rsidR="0074011E" w:rsidRPr="000D04BB" w:rsidRDefault="0074011E" w:rsidP="00BF3B1D">
            <w:pPr>
              <w:rPr>
                <w:color w:val="000000"/>
              </w:rPr>
            </w:pPr>
            <w:r>
              <w:rPr>
                <w:color w:val="000000"/>
              </w:rPr>
              <w:t>Клей силикатный "</w:t>
            </w:r>
            <w:proofErr w:type="spellStart"/>
            <w:r>
              <w:rPr>
                <w:color w:val="000000"/>
              </w:rPr>
              <w:t>Экспоприбор</w:t>
            </w:r>
            <w:proofErr w:type="spellEnd"/>
            <w:r>
              <w:rPr>
                <w:color w:val="000000"/>
              </w:rPr>
              <w:t xml:space="preserve">", 90 </w:t>
            </w:r>
            <w:proofErr w:type="spellStart"/>
            <w:r>
              <w:rPr>
                <w:color w:val="000000"/>
              </w:rPr>
              <w:t>гр</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5306D801" w:rsidR="0074011E" w:rsidRPr="006869E6" w:rsidRDefault="003E3C3A" w:rsidP="00AD192D">
            <w:pPr>
              <w:ind w:firstLine="35"/>
              <w:rPr>
                <w:sz w:val="22"/>
                <w:szCs w:val="22"/>
              </w:rPr>
            </w:pPr>
            <w:r w:rsidRPr="006869E6">
              <w:rPr>
                <w:sz w:val="22"/>
                <w:szCs w:val="22"/>
              </w:rPr>
              <w:t xml:space="preserve">Клей канцелярский  </w:t>
            </w:r>
            <w:proofErr w:type="spellStart"/>
            <w:r w:rsidRPr="006869E6">
              <w:rPr>
                <w:sz w:val="22"/>
                <w:szCs w:val="22"/>
              </w:rPr>
              <w:t>Экспоприбор</w:t>
            </w:r>
            <w:proofErr w:type="spellEnd"/>
            <w:r w:rsidRPr="006869E6">
              <w:rPr>
                <w:sz w:val="22"/>
                <w:szCs w:val="22"/>
              </w:rPr>
              <w:t xml:space="preserve"> предназначен для склеивания картона, бумаги. В одном флаконе содержится 90г клея</w:t>
            </w:r>
          </w:p>
        </w:tc>
      </w:tr>
      <w:tr w:rsidR="0074011E"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327AC0EF" w:rsidR="0074011E" w:rsidRPr="00EC637D" w:rsidRDefault="0074011E" w:rsidP="000D04BB">
            <w:pPr>
              <w:jc w:val="center"/>
            </w:pPr>
            <w:r>
              <w:rPr>
                <w:rFonts w:ascii="Calibri" w:hAnsi="Calibri" w:cs="Arial CYR"/>
                <w:color w:val="000000"/>
                <w:sz w:val="22"/>
                <w:szCs w:val="22"/>
              </w:rP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1BF66318" w:rsidR="0074011E" w:rsidRPr="000D04BB" w:rsidRDefault="0074011E" w:rsidP="00BF3B1D">
            <w:pPr>
              <w:rPr>
                <w:color w:val="000000"/>
              </w:rPr>
            </w:pPr>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75мм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7475FA34" w:rsidR="0074011E" w:rsidRPr="006869E6" w:rsidRDefault="0074011E" w:rsidP="00AD192D">
            <w:pPr>
              <w:rPr>
                <w:sz w:val="22"/>
                <w:szCs w:val="22"/>
              </w:rPr>
            </w:pPr>
            <w:r>
              <w:t xml:space="preserve">Папка-регистратор 75мм </w:t>
            </w:r>
          </w:p>
        </w:tc>
      </w:tr>
      <w:tr w:rsidR="0074011E"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7C598FD4" w:rsidR="0074011E" w:rsidRPr="00EC637D" w:rsidRDefault="0074011E" w:rsidP="000D04BB">
            <w:pPr>
              <w:jc w:val="center"/>
            </w:pPr>
            <w:r>
              <w:rPr>
                <w:rFonts w:ascii="Calibri" w:hAnsi="Calibri" w:cs="Arial CYR"/>
                <w:color w:val="000000"/>
                <w:sz w:val="22"/>
                <w:szCs w:val="22"/>
              </w:rP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13CFC6F8" w:rsidR="0074011E" w:rsidRPr="000D04BB" w:rsidRDefault="0074011E" w:rsidP="00BF3B1D">
            <w:pPr>
              <w:rPr>
                <w:color w:val="000000"/>
              </w:rPr>
            </w:pPr>
            <w:r>
              <w:rPr>
                <w:color w:val="000000"/>
              </w:rPr>
              <w:t>Папка-</w:t>
            </w:r>
            <w:proofErr w:type="spellStart"/>
            <w:r>
              <w:rPr>
                <w:color w:val="000000"/>
              </w:rPr>
              <w:t>регистор</w:t>
            </w:r>
            <w:proofErr w:type="spellEnd"/>
            <w:r>
              <w:rPr>
                <w:color w:val="000000"/>
              </w:rPr>
              <w:t xml:space="preserve"> метал</w:t>
            </w:r>
            <w:proofErr w:type="gramStart"/>
            <w:r>
              <w:rPr>
                <w:color w:val="000000"/>
              </w:rPr>
              <w:t>.</w:t>
            </w:r>
            <w:proofErr w:type="gramEnd"/>
            <w:r>
              <w:rPr>
                <w:color w:val="000000"/>
              </w:rPr>
              <w:t xml:space="preserve"> </w:t>
            </w:r>
            <w:proofErr w:type="spellStart"/>
            <w:proofErr w:type="gramStart"/>
            <w:r>
              <w:rPr>
                <w:color w:val="000000"/>
              </w:rPr>
              <w:t>о</w:t>
            </w:r>
            <w:proofErr w:type="gramEnd"/>
            <w:r>
              <w:rPr>
                <w:color w:val="000000"/>
              </w:rPr>
              <w:t>конт</w:t>
            </w:r>
            <w:proofErr w:type="spellEnd"/>
            <w:r>
              <w:rPr>
                <w:color w:val="000000"/>
              </w:rPr>
              <w:t>. собран. 85мм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5BC5B238" w:rsidR="0074011E" w:rsidRPr="006869E6" w:rsidRDefault="0074011E" w:rsidP="00AD192D">
            <w:pPr>
              <w:ind w:firstLine="35"/>
              <w:rPr>
                <w:sz w:val="22"/>
                <w:szCs w:val="22"/>
              </w:rPr>
            </w:pPr>
            <w:r>
              <w:t xml:space="preserve">Папка-регистратор 80мм (+/-5) </w:t>
            </w:r>
          </w:p>
        </w:tc>
      </w:tr>
      <w:tr w:rsidR="0074011E" w:rsidRPr="006869E6" w14:paraId="7C8F4111" w14:textId="77777777" w:rsidTr="006869E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0CA6AC" w14:textId="77B062D0" w:rsidR="0074011E" w:rsidRPr="00EC637D" w:rsidRDefault="0074011E" w:rsidP="000D04BB">
            <w:pPr>
              <w:jc w:val="center"/>
            </w:pPr>
            <w:r>
              <w:rPr>
                <w:rFonts w:ascii="Calibri" w:hAnsi="Calibri" w:cs="Arial CYR"/>
                <w:color w:val="000000"/>
                <w:sz w:val="22"/>
                <w:szCs w:val="22"/>
              </w:rP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118" w14:textId="10EB4B61" w:rsidR="0074011E" w:rsidRPr="000D04BB" w:rsidRDefault="0074011E" w:rsidP="00BF3B1D">
            <w:pPr>
              <w:rPr>
                <w:color w:val="000000"/>
              </w:rPr>
            </w:pPr>
            <w:r>
              <w:rPr>
                <w:color w:val="000000"/>
              </w:rPr>
              <w:t>Блок с клеевым краем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EC8130B" w14:textId="42CABEA6" w:rsidR="0074011E" w:rsidRPr="006869E6" w:rsidRDefault="00D4116B" w:rsidP="00AD192D">
            <w:pPr>
              <w:rPr>
                <w:sz w:val="22"/>
                <w:szCs w:val="22"/>
              </w:rPr>
            </w:pPr>
            <w:r>
              <w:rPr>
                <w:sz w:val="22"/>
                <w:szCs w:val="22"/>
              </w:rPr>
              <w:t xml:space="preserve">Блок </w:t>
            </w:r>
            <w:proofErr w:type="spellStart"/>
            <w:r>
              <w:rPr>
                <w:sz w:val="22"/>
                <w:szCs w:val="22"/>
              </w:rPr>
              <w:t>самокл</w:t>
            </w:r>
            <w:proofErr w:type="spellEnd"/>
            <w:r>
              <w:rPr>
                <w:sz w:val="22"/>
                <w:szCs w:val="22"/>
              </w:rPr>
              <w:t>. 76*76 100 л.</w:t>
            </w:r>
          </w:p>
        </w:tc>
      </w:tr>
      <w:tr w:rsidR="0074011E" w:rsidRPr="006869E6" w14:paraId="296C2F38" w14:textId="77777777" w:rsidTr="006869E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C03299" w14:textId="5FBC8563" w:rsidR="0074011E" w:rsidRPr="00EC637D" w:rsidRDefault="0074011E" w:rsidP="000D04BB">
            <w:pPr>
              <w:jc w:val="center"/>
            </w:pPr>
            <w:r>
              <w:rPr>
                <w:rFonts w:ascii="Calibri" w:hAnsi="Calibri" w:cs="Arial CYR"/>
                <w:color w:val="000000"/>
                <w:sz w:val="22"/>
                <w:szCs w:val="22"/>
              </w:rP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D027" w14:textId="717C9F62" w:rsidR="0074011E" w:rsidRPr="000D04BB" w:rsidRDefault="0074011E" w:rsidP="00BF3B1D">
            <w:pPr>
              <w:rPr>
                <w:color w:val="000000"/>
              </w:rPr>
            </w:pPr>
            <w:r>
              <w:rPr>
                <w:color w:val="000000"/>
              </w:rPr>
              <w:t xml:space="preserve">Закладка </w:t>
            </w:r>
            <w:proofErr w:type="spellStart"/>
            <w:r>
              <w:rPr>
                <w:color w:val="000000"/>
              </w:rPr>
              <w:t>самоклеющая</w:t>
            </w:r>
            <w:proofErr w:type="spellEnd"/>
            <w:r>
              <w:rPr>
                <w:color w:val="000000"/>
              </w:rPr>
              <w:t xml:space="preserve"> пласт неон</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97B4754" w14:textId="50B93F97" w:rsidR="0074011E" w:rsidRPr="006869E6" w:rsidRDefault="003E3C3A" w:rsidP="00AD192D">
            <w:pPr>
              <w:ind w:firstLine="35"/>
              <w:rPr>
                <w:sz w:val="22"/>
                <w:szCs w:val="22"/>
              </w:rPr>
            </w:pPr>
            <w:r>
              <w:rPr>
                <w:color w:val="000000"/>
              </w:rPr>
              <w:t xml:space="preserve">Закладка </w:t>
            </w:r>
            <w:proofErr w:type="spellStart"/>
            <w:r>
              <w:rPr>
                <w:color w:val="000000"/>
              </w:rPr>
              <w:t>самокл</w:t>
            </w:r>
            <w:r w:rsidR="00D4116B">
              <w:rPr>
                <w:color w:val="000000"/>
              </w:rPr>
              <w:t>еющая</w:t>
            </w:r>
            <w:proofErr w:type="spellEnd"/>
            <w:r>
              <w:rPr>
                <w:color w:val="000000"/>
              </w:rPr>
              <w:t xml:space="preserve"> пластик 12*45 мм 5цв*25л  н</w:t>
            </w:r>
            <w:r w:rsidR="00D4116B">
              <w:rPr>
                <w:color w:val="000000"/>
              </w:rPr>
              <w:t>е</w:t>
            </w:r>
            <w:r>
              <w:rPr>
                <w:color w:val="000000"/>
              </w:rPr>
              <w:t>он</w:t>
            </w:r>
          </w:p>
        </w:tc>
      </w:tr>
      <w:tr w:rsidR="0074011E" w:rsidRPr="006869E6" w14:paraId="574076FC" w14:textId="77777777" w:rsidTr="006869E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296241" w14:textId="40C3C0A3" w:rsidR="0074011E" w:rsidRDefault="0074011E" w:rsidP="000D04BB">
            <w:pPr>
              <w:jc w:val="center"/>
            </w:pPr>
            <w:r>
              <w:rPr>
                <w:rFonts w:ascii="Calibri" w:hAnsi="Calibri" w:cs="Arial CYR"/>
                <w:color w:val="000000"/>
                <w:sz w:val="22"/>
                <w:szCs w:val="22"/>
              </w:rP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32CD" w14:textId="4E367195" w:rsidR="0074011E" w:rsidRPr="000D04BB" w:rsidRDefault="0074011E" w:rsidP="00BF3B1D">
            <w:pPr>
              <w:rPr>
                <w:color w:val="000000"/>
              </w:rPr>
            </w:pPr>
            <w:r>
              <w:rPr>
                <w:color w:val="000000"/>
              </w:rPr>
              <w:t>Скоросшиватель пласт.</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3C8BE7C" w14:textId="0AE1C6C5" w:rsidR="0074011E" w:rsidRPr="006869E6" w:rsidRDefault="0074011E" w:rsidP="00AD192D">
            <w:pPr>
              <w:ind w:firstLine="35"/>
              <w:rPr>
                <w:sz w:val="22"/>
                <w:szCs w:val="22"/>
              </w:rPr>
            </w:pPr>
            <w:r>
              <w:t xml:space="preserve">Папка </w:t>
            </w:r>
            <w:proofErr w:type="spellStart"/>
            <w:r>
              <w:t>скоросшиват</w:t>
            </w:r>
            <w:proofErr w:type="spellEnd"/>
            <w:r>
              <w:t>. А</w:t>
            </w:r>
            <w:proofErr w:type="gramStart"/>
            <w:r>
              <w:t>4</w:t>
            </w:r>
            <w:proofErr w:type="gramEnd"/>
            <w:r>
              <w:t xml:space="preserve"> Бюрократ синий</w:t>
            </w:r>
          </w:p>
        </w:tc>
      </w:tr>
      <w:tr w:rsidR="0074011E" w:rsidRPr="006869E6" w14:paraId="5A729F5A" w14:textId="77777777" w:rsidTr="006869E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217684" w14:textId="546755FB" w:rsidR="0074011E" w:rsidRDefault="0074011E" w:rsidP="000D04BB">
            <w:pPr>
              <w:jc w:val="center"/>
            </w:pPr>
            <w:r>
              <w:rPr>
                <w:rFonts w:ascii="Calibri" w:hAnsi="Calibri" w:cs="Arial CYR"/>
                <w:color w:val="000000"/>
                <w:sz w:val="22"/>
                <w:szCs w:val="22"/>
              </w:rP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C7F0C" w14:textId="1C23079E" w:rsidR="0074011E" w:rsidRPr="000D04BB" w:rsidRDefault="0074011E" w:rsidP="00BF3B1D">
            <w:pPr>
              <w:rPr>
                <w:color w:val="000000"/>
              </w:rPr>
            </w:pPr>
            <w:r>
              <w:rPr>
                <w:color w:val="000000"/>
              </w:rPr>
              <w:t>Ручка шариковая синий стержень</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D32A1B6" w14:textId="79C267E2" w:rsidR="0074011E" w:rsidRPr="006869E6" w:rsidRDefault="0074011E" w:rsidP="00B54C5A">
            <w:pPr>
              <w:rPr>
                <w:sz w:val="22"/>
                <w:szCs w:val="22"/>
              </w:rPr>
            </w:pPr>
            <w:r w:rsidRPr="006869E6">
              <w:rPr>
                <w:color w:val="000000"/>
                <w:sz w:val="22"/>
                <w:szCs w:val="22"/>
              </w:rPr>
              <w:t>Ручка шариковая, синий стержень, масляная</w:t>
            </w:r>
            <w:r>
              <w:rPr>
                <w:color w:val="000000"/>
                <w:sz w:val="22"/>
                <w:szCs w:val="22"/>
              </w:rPr>
              <w:t xml:space="preserve"> 0,7 мм, неавтоматическая (с возможностью замены стержня)</w:t>
            </w:r>
          </w:p>
        </w:tc>
      </w:tr>
      <w:tr w:rsidR="0074011E" w:rsidRPr="006869E6" w14:paraId="49EF19DF" w14:textId="77777777" w:rsidTr="00E60092">
        <w:trPr>
          <w:gridBefore w:val="1"/>
          <w:wBefore w:w="16" w:type="dxa"/>
          <w:trHeight w:val="54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C0BF2" w14:textId="660730D6" w:rsidR="0074011E" w:rsidRDefault="0074011E" w:rsidP="000D04BB">
            <w:pPr>
              <w:jc w:val="center"/>
            </w:pPr>
            <w:r>
              <w:rPr>
                <w:rFonts w:ascii="Calibri" w:hAnsi="Calibri" w:cs="Arial CYR"/>
                <w:color w:val="000000"/>
                <w:sz w:val="22"/>
                <w:szCs w:val="22"/>
              </w:rP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2B84" w14:textId="0C088E43" w:rsidR="0074011E" w:rsidRPr="000D04BB" w:rsidRDefault="0074011E" w:rsidP="003F07B8">
            <w:pPr>
              <w:rPr>
                <w:color w:val="000000"/>
              </w:rPr>
            </w:pPr>
            <w:r>
              <w:rPr>
                <w:color w:val="000000"/>
              </w:rPr>
              <w:t xml:space="preserve">Стержень к шариковой ручке синий </w:t>
            </w:r>
            <w:proofErr w:type="spellStart"/>
            <w:r>
              <w:rPr>
                <w:color w:val="000000"/>
              </w:rPr>
              <w:t>масл</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tcPr>
          <w:p w14:paraId="61E9304E" w14:textId="3DE8D003" w:rsidR="0074011E" w:rsidRPr="006869E6" w:rsidRDefault="003E3C3A" w:rsidP="00AD192D">
            <w:pPr>
              <w:rPr>
                <w:sz w:val="22"/>
                <w:szCs w:val="22"/>
              </w:rPr>
            </w:pPr>
            <w:r>
              <w:rPr>
                <w:color w:val="000000"/>
              </w:rPr>
              <w:t xml:space="preserve">Стержень к шариковой ручке синий </w:t>
            </w:r>
            <w:proofErr w:type="spellStart"/>
            <w:r>
              <w:rPr>
                <w:color w:val="000000"/>
              </w:rPr>
              <w:t>масл</w:t>
            </w:r>
            <w:proofErr w:type="spellEnd"/>
            <w:r>
              <w:rPr>
                <w:color w:val="000000"/>
              </w:rPr>
              <w:t>.</w:t>
            </w:r>
          </w:p>
        </w:tc>
      </w:tr>
      <w:tr w:rsidR="0074011E" w:rsidRPr="006869E6" w14:paraId="2AFA8586" w14:textId="77777777" w:rsidTr="00E60092">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C04B50" w14:textId="65776582" w:rsidR="0074011E" w:rsidRDefault="0074011E" w:rsidP="000D04BB">
            <w:pPr>
              <w:jc w:val="center"/>
            </w:pPr>
            <w:r>
              <w:rPr>
                <w:rFonts w:ascii="Calibri" w:hAnsi="Calibri" w:cs="Arial CYR"/>
                <w:color w:val="000000"/>
                <w:sz w:val="22"/>
                <w:szCs w:val="22"/>
              </w:rP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62AF6" w14:textId="0B37C600" w:rsidR="0074011E" w:rsidRPr="000D04BB" w:rsidRDefault="0074011E" w:rsidP="003F07B8">
            <w:pPr>
              <w:rPr>
                <w:color w:val="000000"/>
              </w:rPr>
            </w:pPr>
            <w:r>
              <w:rPr>
                <w:color w:val="000000"/>
              </w:rPr>
              <w:t>Ножницы</w:t>
            </w:r>
          </w:p>
        </w:tc>
        <w:tc>
          <w:tcPr>
            <w:tcW w:w="10637" w:type="dxa"/>
            <w:gridSpan w:val="8"/>
            <w:tcBorders>
              <w:top w:val="single" w:sz="4" w:space="0" w:color="auto"/>
              <w:left w:val="nil"/>
              <w:bottom w:val="single" w:sz="4" w:space="0" w:color="auto"/>
              <w:right w:val="single" w:sz="4" w:space="0" w:color="auto"/>
            </w:tcBorders>
            <w:shd w:val="clear" w:color="auto" w:fill="auto"/>
          </w:tcPr>
          <w:p w14:paraId="3D7ACC40" w14:textId="2780D1FE" w:rsidR="0074011E" w:rsidRPr="006869E6" w:rsidRDefault="003E3C3A" w:rsidP="00AD192D">
            <w:pPr>
              <w:rPr>
                <w:sz w:val="22"/>
                <w:szCs w:val="22"/>
              </w:rPr>
            </w:pPr>
            <w:r>
              <w:rPr>
                <w:sz w:val="22"/>
                <w:szCs w:val="22"/>
              </w:rPr>
              <w:t xml:space="preserve">Ножницы </w:t>
            </w:r>
            <w:proofErr w:type="spellStart"/>
            <w:r>
              <w:rPr>
                <w:sz w:val="22"/>
                <w:szCs w:val="22"/>
              </w:rPr>
              <w:t>цельномет</w:t>
            </w:r>
            <w:proofErr w:type="spellEnd"/>
            <w:r>
              <w:rPr>
                <w:sz w:val="22"/>
                <w:szCs w:val="22"/>
              </w:rPr>
              <w:t>-е 200 мм прорезанные кольца</w:t>
            </w:r>
          </w:p>
        </w:tc>
      </w:tr>
      <w:tr w:rsidR="0074011E" w:rsidRPr="006869E6" w14:paraId="03CBFE1D"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336ECD4" w14:textId="58F16F20" w:rsidR="0074011E" w:rsidRDefault="0074011E" w:rsidP="000D04BB">
            <w:pPr>
              <w:jc w:val="center"/>
            </w:pPr>
            <w:r>
              <w:rPr>
                <w:rFonts w:ascii="Calibri" w:hAnsi="Calibri" w:cs="Arial CYR"/>
                <w:color w:val="000000"/>
                <w:sz w:val="22"/>
                <w:szCs w:val="22"/>
              </w:rP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84619" w14:textId="0AA7D012" w:rsidR="0074011E" w:rsidRDefault="0074011E" w:rsidP="007E3C41">
            <w:pPr>
              <w:rPr>
                <w:color w:val="000000"/>
              </w:rPr>
            </w:pPr>
            <w:r>
              <w:rPr>
                <w:color w:val="000000"/>
              </w:rPr>
              <w:t>Скрепки канцелярские метал. 28мм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D16190D" w14:textId="5F591D00" w:rsidR="0074011E" w:rsidRPr="00121EAD" w:rsidRDefault="003E3C3A" w:rsidP="00AD192D">
            <w:pPr>
              <w:ind w:firstLine="35"/>
              <w:rPr>
                <w:bCs/>
                <w:color w:val="333333"/>
                <w:sz w:val="22"/>
                <w:szCs w:val="22"/>
                <w:shd w:val="clear" w:color="auto" w:fill="FFFFFF"/>
              </w:rPr>
            </w:pPr>
            <w:r>
              <w:rPr>
                <w:bCs/>
                <w:color w:val="333333"/>
                <w:sz w:val="22"/>
                <w:szCs w:val="22"/>
                <w:shd w:val="clear" w:color="auto" w:fill="FFFFFF"/>
              </w:rPr>
              <w:t xml:space="preserve">Скрепки метал. 28 мм овальные 100 </w:t>
            </w:r>
            <w:proofErr w:type="spellStart"/>
            <w:proofErr w:type="gramStart"/>
            <w:r>
              <w:rPr>
                <w:bCs/>
                <w:color w:val="333333"/>
                <w:sz w:val="22"/>
                <w:szCs w:val="22"/>
                <w:shd w:val="clear" w:color="auto" w:fill="FFFFFF"/>
              </w:rPr>
              <w:t>шт</w:t>
            </w:r>
            <w:proofErr w:type="spellEnd"/>
            <w:proofErr w:type="gramEnd"/>
            <w:r>
              <w:rPr>
                <w:bCs/>
                <w:color w:val="333333"/>
                <w:sz w:val="22"/>
                <w:szCs w:val="22"/>
                <w:shd w:val="clear" w:color="auto" w:fill="FFFFFF"/>
              </w:rPr>
              <w:t>/</w:t>
            </w:r>
            <w:proofErr w:type="spellStart"/>
            <w:r>
              <w:rPr>
                <w:bCs/>
                <w:color w:val="333333"/>
                <w:sz w:val="22"/>
                <w:szCs w:val="22"/>
                <w:shd w:val="clear" w:color="auto" w:fill="FFFFFF"/>
              </w:rPr>
              <w:t>уп</w:t>
            </w:r>
            <w:proofErr w:type="spellEnd"/>
            <w:r>
              <w:rPr>
                <w:bCs/>
                <w:color w:val="333333"/>
                <w:sz w:val="22"/>
                <w:szCs w:val="22"/>
                <w:shd w:val="clear" w:color="auto" w:fill="FFFFFF"/>
              </w:rPr>
              <w:t>.  б/</w:t>
            </w:r>
            <w:proofErr w:type="spellStart"/>
            <w:r>
              <w:rPr>
                <w:bCs/>
                <w:color w:val="333333"/>
                <w:sz w:val="22"/>
                <w:szCs w:val="22"/>
                <w:shd w:val="clear" w:color="auto" w:fill="FFFFFF"/>
              </w:rPr>
              <w:t>покр</w:t>
            </w:r>
            <w:proofErr w:type="spellEnd"/>
            <w:r>
              <w:rPr>
                <w:bCs/>
                <w:color w:val="333333"/>
                <w:sz w:val="22"/>
                <w:szCs w:val="22"/>
                <w:shd w:val="clear" w:color="auto" w:fill="FFFFFF"/>
              </w:rPr>
              <w:t>.</w:t>
            </w:r>
          </w:p>
        </w:tc>
      </w:tr>
      <w:tr w:rsidR="0074011E" w:rsidRPr="006869E6" w14:paraId="18E8ECD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3E051B6" w14:textId="75605533" w:rsidR="0074011E" w:rsidRDefault="0074011E" w:rsidP="000D04BB">
            <w:pPr>
              <w:jc w:val="center"/>
            </w:pPr>
            <w:r>
              <w:rPr>
                <w:rFonts w:ascii="Calibri" w:hAnsi="Calibri" w:cs="Arial CYR"/>
                <w:color w:val="000000"/>
                <w:sz w:val="22"/>
                <w:szCs w:val="22"/>
              </w:rPr>
              <w:t>13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8F48" w14:textId="2921DFE3" w:rsidR="0074011E" w:rsidRDefault="0074011E" w:rsidP="003F07B8">
            <w:pPr>
              <w:rPr>
                <w:color w:val="000000"/>
              </w:rPr>
            </w:pPr>
            <w:r>
              <w:rPr>
                <w:color w:val="000000"/>
              </w:rPr>
              <w:t>Тетрадь 24л.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480AB" w14:textId="148755B5" w:rsidR="0074011E" w:rsidRPr="00121EAD" w:rsidRDefault="003E3C3A" w:rsidP="00AD192D">
            <w:pPr>
              <w:ind w:firstLine="35"/>
              <w:rPr>
                <w:bCs/>
                <w:color w:val="333333"/>
                <w:sz w:val="22"/>
                <w:szCs w:val="22"/>
                <w:shd w:val="clear" w:color="auto" w:fill="FFFFFF"/>
              </w:rPr>
            </w:pPr>
            <w:r>
              <w:rPr>
                <w:bCs/>
                <w:color w:val="333333"/>
                <w:sz w:val="22"/>
                <w:szCs w:val="22"/>
                <w:shd w:val="clear" w:color="auto" w:fill="FFFFFF"/>
              </w:rPr>
              <w:t>Тетрадь 24 л.</w:t>
            </w:r>
          </w:p>
        </w:tc>
      </w:tr>
      <w:tr w:rsidR="0074011E" w:rsidRPr="006869E6" w14:paraId="74E720F5" w14:textId="77777777" w:rsidTr="00BB1798">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AD31AAC" w14:textId="33FF8D22" w:rsidR="0074011E" w:rsidRDefault="0074011E" w:rsidP="000D04BB">
            <w:pPr>
              <w:jc w:val="center"/>
            </w:pPr>
            <w:r>
              <w:rPr>
                <w:rFonts w:ascii="Calibri" w:hAnsi="Calibri" w:cs="Arial CYR"/>
                <w:color w:val="000000"/>
                <w:sz w:val="22"/>
                <w:szCs w:val="22"/>
              </w:rPr>
              <w:t>14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30A28" w14:textId="1DB305FE" w:rsidR="0074011E" w:rsidRDefault="0074011E" w:rsidP="007E3C41">
            <w:pPr>
              <w:rPr>
                <w:color w:val="000000"/>
              </w:rPr>
            </w:pPr>
            <w:r>
              <w:rPr>
                <w:color w:val="000000"/>
              </w:rPr>
              <w:t>Тетрадь общая 48л.</w:t>
            </w:r>
          </w:p>
        </w:tc>
        <w:tc>
          <w:tcPr>
            <w:tcW w:w="10637" w:type="dxa"/>
            <w:gridSpan w:val="8"/>
            <w:tcBorders>
              <w:top w:val="single" w:sz="4" w:space="0" w:color="auto"/>
              <w:left w:val="nil"/>
              <w:bottom w:val="single" w:sz="4" w:space="0" w:color="auto"/>
              <w:right w:val="single" w:sz="4" w:space="0" w:color="auto"/>
            </w:tcBorders>
            <w:shd w:val="clear" w:color="auto" w:fill="auto"/>
          </w:tcPr>
          <w:p w14:paraId="229979EC" w14:textId="1404BB04" w:rsidR="0074011E" w:rsidRPr="00121EAD" w:rsidRDefault="003E3C3A" w:rsidP="007E3C41">
            <w:pPr>
              <w:ind w:firstLine="35"/>
              <w:rPr>
                <w:bCs/>
                <w:color w:val="333333"/>
                <w:sz w:val="22"/>
                <w:szCs w:val="22"/>
                <w:shd w:val="clear" w:color="auto" w:fill="FFFFFF"/>
              </w:rPr>
            </w:pPr>
            <w:r>
              <w:rPr>
                <w:bCs/>
                <w:color w:val="333333"/>
                <w:sz w:val="22"/>
                <w:szCs w:val="22"/>
                <w:shd w:val="clear" w:color="auto" w:fill="FFFFFF"/>
              </w:rPr>
              <w:t>Тетрадь А5 48 л.</w:t>
            </w:r>
          </w:p>
        </w:tc>
      </w:tr>
      <w:tr w:rsidR="0074011E" w:rsidRPr="006869E6" w14:paraId="22C2DB68" w14:textId="77777777" w:rsidTr="00BB1798">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1E8491E" w14:textId="4AD0F928" w:rsidR="0074011E" w:rsidRDefault="0074011E" w:rsidP="000D04BB">
            <w:pPr>
              <w:jc w:val="center"/>
            </w:pPr>
            <w:r>
              <w:rPr>
                <w:rFonts w:ascii="Calibri" w:hAnsi="Calibri" w:cs="Arial CYR"/>
                <w:color w:val="000000"/>
                <w:sz w:val="22"/>
                <w:szCs w:val="22"/>
              </w:rPr>
              <w:t>15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9F651" w14:textId="4155A72D" w:rsidR="0074011E" w:rsidRDefault="0074011E" w:rsidP="00BF3B1D">
            <w:pPr>
              <w:rPr>
                <w:color w:val="000000"/>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tcPr>
          <w:p w14:paraId="5B7B42E9" w14:textId="42B5AD3B" w:rsidR="0074011E" w:rsidRPr="00121EAD" w:rsidRDefault="003E3C3A" w:rsidP="007E3C41">
            <w:pPr>
              <w:ind w:firstLine="35"/>
              <w:rPr>
                <w:bCs/>
                <w:color w:val="333333"/>
                <w:sz w:val="22"/>
                <w:szCs w:val="22"/>
                <w:shd w:val="clear" w:color="auto" w:fill="FFFFFF"/>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r>
      <w:tr w:rsidR="0074011E" w:rsidRPr="006869E6" w14:paraId="07FA725E"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67FACD" w14:textId="090BD146" w:rsidR="0074011E" w:rsidRDefault="0074011E" w:rsidP="000D04BB">
            <w:pPr>
              <w:jc w:val="center"/>
            </w:pPr>
            <w:r>
              <w:rPr>
                <w:rFonts w:ascii="Calibri" w:hAnsi="Calibri" w:cs="Arial CYR"/>
                <w:color w:val="000000"/>
                <w:sz w:val="22"/>
                <w:szCs w:val="22"/>
              </w:rPr>
              <w:t>16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D5208" w14:textId="78F77502" w:rsidR="0074011E" w:rsidRDefault="0074011E" w:rsidP="001B0E87">
            <w:pPr>
              <w:rPr>
                <w:color w:val="000000"/>
              </w:rPr>
            </w:pPr>
            <w:r>
              <w:rPr>
                <w:color w:val="000000"/>
              </w:rPr>
              <w:t xml:space="preserve">Скобы к </w:t>
            </w:r>
            <w:proofErr w:type="spellStart"/>
            <w:r>
              <w:rPr>
                <w:color w:val="000000"/>
              </w:rPr>
              <w:t>степлеру</w:t>
            </w:r>
            <w:proofErr w:type="spellEnd"/>
            <w:r>
              <w:rPr>
                <w:color w:val="000000"/>
              </w:rPr>
              <w:t xml:space="preserve"> №10</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210C24A" w14:textId="4E94AAC3" w:rsidR="0074011E" w:rsidRPr="00121EAD" w:rsidRDefault="0074011E" w:rsidP="00AD192D">
            <w:pPr>
              <w:ind w:firstLine="35"/>
              <w:rPr>
                <w:bCs/>
                <w:color w:val="333333"/>
                <w:sz w:val="22"/>
                <w:szCs w:val="22"/>
                <w:shd w:val="clear" w:color="auto" w:fill="FFFFFF"/>
              </w:rPr>
            </w:pPr>
            <w:r>
              <w:rPr>
                <w:color w:val="000000"/>
                <w:sz w:val="22"/>
                <w:szCs w:val="22"/>
                <w:shd w:val="clear" w:color="auto" w:fill="FFFFFF"/>
              </w:rPr>
              <w:t xml:space="preserve">Скобы для </w:t>
            </w:r>
            <w:proofErr w:type="spellStart"/>
            <w:r>
              <w:rPr>
                <w:color w:val="000000"/>
                <w:sz w:val="22"/>
                <w:szCs w:val="22"/>
                <w:shd w:val="clear" w:color="auto" w:fill="FFFFFF"/>
              </w:rPr>
              <w:t>степлера</w:t>
            </w:r>
            <w:proofErr w:type="spellEnd"/>
            <w:r>
              <w:rPr>
                <w:color w:val="000000"/>
                <w:sz w:val="22"/>
                <w:szCs w:val="22"/>
                <w:shd w:val="clear" w:color="auto" w:fill="FFFFFF"/>
              </w:rPr>
              <w:t xml:space="preserve"> № 10</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74011E" w:rsidRPr="006869E6" w14:paraId="17B7FE93"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E023FC4" w14:textId="286C86A4" w:rsidR="0074011E" w:rsidRDefault="0074011E" w:rsidP="000D04BB">
            <w:pPr>
              <w:jc w:val="center"/>
            </w:pPr>
            <w:r>
              <w:rPr>
                <w:rFonts w:ascii="Calibri" w:hAnsi="Calibri" w:cs="Arial CYR"/>
                <w:color w:val="000000"/>
                <w:sz w:val="22"/>
                <w:szCs w:val="22"/>
              </w:rPr>
              <w:t>17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FDD9" w14:textId="5B21E170" w:rsidR="0074011E" w:rsidRDefault="0074011E" w:rsidP="007E3C41">
            <w:pPr>
              <w:rPr>
                <w:color w:val="000000"/>
              </w:rPr>
            </w:pPr>
            <w:r>
              <w:rPr>
                <w:color w:val="000000"/>
              </w:rPr>
              <w:t xml:space="preserve">Скобы к </w:t>
            </w:r>
            <w:proofErr w:type="spellStart"/>
            <w:r>
              <w:rPr>
                <w:color w:val="000000"/>
              </w:rPr>
              <w:t>степлеру</w:t>
            </w:r>
            <w:proofErr w:type="spellEnd"/>
            <w:r>
              <w:rPr>
                <w:color w:val="000000"/>
              </w:rPr>
              <w:t xml:space="preserve"> №24/6</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29B37CA" w14:textId="6539B6DE" w:rsidR="0074011E" w:rsidRPr="00121EAD" w:rsidRDefault="003E3C3A" w:rsidP="00026AD8">
            <w:pPr>
              <w:ind w:firstLine="35"/>
              <w:rPr>
                <w:bCs/>
                <w:color w:val="333333"/>
                <w:sz w:val="22"/>
                <w:szCs w:val="22"/>
                <w:shd w:val="clear" w:color="auto" w:fill="FFFFFF"/>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w:t>
            </w:r>
            <w:r>
              <w:rPr>
                <w:color w:val="000000"/>
                <w:sz w:val="22"/>
                <w:szCs w:val="22"/>
                <w:shd w:val="clear" w:color="auto" w:fill="FFFFFF"/>
              </w:rPr>
              <w:t>24/6</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w:t>
            </w:r>
            <w:r>
              <w:rPr>
                <w:color w:val="000000"/>
                <w:sz w:val="22"/>
                <w:szCs w:val="22"/>
                <w:shd w:val="clear" w:color="auto" w:fill="FFFFFF"/>
              </w:rPr>
              <w:t xml:space="preserve">  </w:t>
            </w:r>
            <w:r w:rsidRPr="006869E6">
              <w:rPr>
                <w:color w:val="000000"/>
                <w:sz w:val="22"/>
                <w:szCs w:val="22"/>
                <w:shd w:val="clear" w:color="auto" w:fill="FFFFFF"/>
              </w:rPr>
              <w:t>1000 скоб.</w:t>
            </w:r>
          </w:p>
        </w:tc>
      </w:tr>
      <w:tr w:rsidR="0074011E" w:rsidRPr="006869E6" w14:paraId="7C693381"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AE1E1B" w14:textId="5AD5F740" w:rsidR="0074011E" w:rsidRDefault="0074011E" w:rsidP="000D04BB">
            <w:pPr>
              <w:jc w:val="center"/>
            </w:pPr>
            <w:r>
              <w:rPr>
                <w:rFonts w:ascii="Calibri" w:hAnsi="Calibri" w:cs="Arial CYR"/>
                <w:color w:val="000000"/>
                <w:sz w:val="22"/>
                <w:szCs w:val="22"/>
              </w:rPr>
              <w:lastRenderedPageBreak/>
              <w:t>18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ADFB" w14:textId="4A2075CB" w:rsidR="0074011E" w:rsidRDefault="0074011E" w:rsidP="007E3C41">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.(80г/м2, белизна ISO 60%)</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CB02431" w14:textId="56706F12" w:rsidR="0074011E" w:rsidRPr="00121EAD" w:rsidRDefault="0074011E" w:rsidP="00026AD8">
            <w:pPr>
              <w:ind w:firstLine="35"/>
              <w:rPr>
                <w:bCs/>
                <w:color w:val="333333"/>
                <w:sz w:val="22"/>
                <w:szCs w:val="22"/>
                <w:shd w:val="clear" w:color="auto" w:fill="FFFFFF"/>
              </w:rPr>
            </w:pPr>
            <w:r>
              <w:t xml:space="preserve">Бумага "SVETOCOPY </w:t>
            </w:r>
            <w:proofErr w:type="spellStart"/>
            <w:r>
              <w:t>Eco</w:t>
            </w:r>
            <w:proofErr w:type="spellEnd"/>
            <w:r>
              <w:t>" А</w:t>
            </w:r>
            <w:proofErr w:type="gramStart"/>
            <w:r>
              <w:t>4</w:t>
            </w:r>
            <w:proofErr w:type="gramEnd"/>
            <w:r>
              <w:t xml:space="preserve"> 500л. (80г/м2, белизна ISO 60 %) (IP) (Ст.5)</w:t>
            </w:r>
          </w:p>
        </w:tc>
      </w:tr>
      <w:tr w:rsidR="0074011E" w:rsidRPr="006869E6" w14:paraId="2FC26E2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9D58B" w14:textId="380F90F1" w:rsidR="0074011E" w:rsidRDefault="0074011E" w:rsidP="000D04BB">
            <w:pPr>
              <w:jc w:val="center"/>
            </w:pPr>
            <w:r>
              <w:rPr>
                <w:rFonts w:ascii="Calibri" w:hAnsi="Calibri" w:cs="Arial CYR"/>
                <w:color w:val="000000"/>
                <w:sz w:val="22"/>
                <w:szCs w:val="22"/>
              </w:rPr>
              <w:t>19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351A" w14:textId="5B2CD7B5" w:rsidR="0074011E" w:rsidRDefault="0074011E"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 (80г/м2, белизна CIE 146%)</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AABE6CE" w14:textId="28405EBA" w:rsidR="0074011E" w:rsidRPr="00121EAD" w:rsidRDefault="0074011E" w:rsidP="00AD192D">
            <w:pPr>
              <w:ind w:firstLine="35"/>
              <w:rPr>
                <w:bCs/>
                <w:color w:val="333333"/>
                <w:sz w:val="22"/>
                <w:szCs w:val="22"/>
                <w:shd w:val="clear" w:color="auto" w:fill="FFFFFF"/>
              </w:rPr>
            </w:pPr>
            <w:r>
              <w:t>Бумага "SVETOCOPY" А</w:t>
            </w:r>
            <w:proofErr w:type="gramStart"/>
            <w:r>
              <w:t>4</w:t>
            </w:r>
            <w:proofErr w:type="gramEnd"/>
            <w:r>
              <w:t xml:space="preserve"> 500л. (80г/м2, белизна CIE 146%) (IP) (Ст.5)</w:t>
            </w:r>
          </w:p>
        </w:tc>
      </w:tr>
      <w:tr w:rsidR="00FF43F1"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FF43F1" w:rsidRPr="00EC637D" w:rsidRDefault="00FF43F1" w:rsidP="000D04BB">
            <w:pPr>
              <w:rPr>
                <w:b/>
                <w:bCs/>
              </w:rPr>
            </w:pPr>
            <w:r w:rsidRPr="00EC637D">
              <w:rPr>
                <w:b/>
                <w:bCs/>
              </w:rPr>
              <w:t>3. Требования к результатам:</w:t>
            </w:r>
          </w:p>
          <w:p w14:paraId="389D74C1" w14:textId="739E1397" w:rsidR="00FF43F1" w:rsidRPr="00EC637D" w:rsidRDefault="00FF43F1"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FF43F1"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FF43F1" w:rsidRPr="00EC637D" w:rsidRDefault="00FF43F1" w:rsidP="000D04BB">
            <w:pPr>
              <w:rPr>
                <w:b/>
                <w:bCs/>
              </w:rPr>
            </w:pPr>
            <w:r w:rsidRPr="00EC637D">
              <w:rPr>
                <w:b/>
                <w:bCs/>
              </w:rPr>
              <w:t>4. Место, условия и сроки.</w:t>
            </w:r>
          </w:p>
        </w:tc>
      </w:tr>
      <w:tr w:rsidR="00FF43F1"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FF43F1" w:rsidRPr="00EC637D" w:rsidRDefault="00FF43F1"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FF43F1" w:rsidRPr="00EC637D" w:rsidRDefault="00FF43F1"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FF43F1"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FF43F1" w:rsidRPr="00EC637D" w:rsidRDefault="00FF43F1"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FF43F1" w:rsidRPr="00EC637D" w:rsidRDefault="00FF43F1"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FF43F1"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FF43F1" w:rsidRPr="00EC637D" w:rsidRDefault="00FF43F1" w:rsidP="000D04BB">
            <w:r w:rsidRPr="00EC637D">
              <w:t>Сроки  поставки.</w:t>
            </w:r>
          </w:p>
          <w:p w14:paraId="505B30C6" w14:textId="62D2D8D3" w:rsidR="00FF43F1" w:rsidRPr="00EC637D" w:rsidRDefault="00FF43F1"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FF43F1" w:rsidRPr="00EC637D" w:rsidRDefault="00FF43F1"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FF43F1"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FF43F1" w:rsidRPr="00EC637D" w:rsidRDefault="00FF43F1" w:rsidP="000D04BB">
            <w:pPr>
              <w:rPr>
                <w:b/>
                <w:bCs/>
              </w:rPr>
            </w:pPr>
            <w:r w:rsidRPr="00EC637D">
              <w:rPr>
                <w:b/>
                <w:bCs/>
              </w:rPr>
              <w:t>5. Форма, сроки и порядок оплаты</w:t>
            </w:r>
          </w:p>
        </w:tc>
      </w:tr>
      <w:tr w:rsidR="00FF43F1"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FF43F1" w:rsidRPr="00EC637D" w:rsidRDefault="00FF43F1"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FF43F1" w:rsidRDefault="00FF43F1"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FF43F1" w:rsidRPr="00EC637D" w:rsidRDefault="00FF43F1"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FF43F1"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FF43F1" w:rsidRPr="00EC637D" w:rsidRDefault="00FF43F1"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FF43F1"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FF43F1" w:rsidRPr="00DD0B75" w:rsidRDefault="00FF43F1"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92F14B3"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0EE09830"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w:t>
      </w:r>
      <w:r w:rsidR="002C5609">
        <w:t>2</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5C221C1A" w:rsidR="00215BD5" w:rsidRPr="00215BD5" w:rsidRDefault="00215BD5" w:rsidP="00215BD5">
      <w:pPr>
        <w:ind w:firstLine="708"/>
        <w:jc w:val="both"/>
      </w:pPr>
      <w:r w:rsidRPr="00215BD5">
        <w:t>Частное учреждение здравоохранения «Больница «РЖД-Медицина» города Рузаевка» (ЧУЗ «РЖД-Медицина» г. Рузаевка»), именуе</w:t>
      </w:r>
      <w:r w:rsidR="00D8202A">
        <w:t>мое далее «Покупатель», в лице</w:t>
      </w:r>
      <w:r w:rsidR="00D4116B">
        <w:t xml:space="preserve"> </w:t>
      </w:r>
      <w:r w:rsidR="00D8202A">
        <w:t xml:space="preserve"> г</w:t>
      </w:r>
      <w:r w:rsidR="00D4116B">
        <w:t xml:space="preserve">лавного врача </w:t>
      </w:r>
      <w:proofErr w:type="spellStart"/>
      <w:r w:rsidR="00D4116B">
        <w:t>Косыркиной</w:t>
      </w:r>
      <w:proofErr w:type="spellEnd"/>
      <w:r w:rsidR="00D4116B">
        <w:t xml:space="preserve"> Ирины Евгеньевны</w:t>
      </w:r>
      <w:r w:rsidRPr="00215BD5">
        <w:t xml:space="preserve">,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7D0630">
        <w:rPr>
          <w:i/>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5" w:name="OLE_LINK5"/>
      <w:bookmarkStart w:id="6" w:name="OLE_LINK1"/>
      <w:bookmarkStart w:id="7" w:name="OLE_LINK12"/>
      <w:bookmarkStart w:id="8"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5"/>
      <w:bookmarkEnd w:id="6"/>
      <w:bookmarkEnd w:id="7"/>
      <w:bookmarkEnd w:id="8"/>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9" w:name="p285"/>
      <w:bookmarkEnd w:id="9"/>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7D063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57F9C87C" w:rsidR="00215BD5" w:rsidRPr="00215BD5" w:rsidRDefault="00D4116B" w:rsidP="003C7D40">
            <w:pPr>
              <w:rPr>
                <w:rFonts w:eastAsia="Calibri"/>
                <w:b/>
                <w:lang w:eastAsia="en-US"/>
              </w:rPr>
            </w:pPr>
            <w:r>
              <w:rPr>
                <w:rFonts w:eastAsia="Calibri"/>
                <w:b/>
                <w:lang w:eastAsia="en-US"/>
              </w:rPr>
              <w:t>Главный</w:t>
            </w:r>
            <w:r w:rsidR="00215BD5" w:rsidRPr="00215BD5">
              <w:rPr>
                <w:rFonts w:eastAsia="Calibri"/>
                <w:b/>
                <w:lang w:eastAsia="en-US"/>
              </w:rPr>
              <w:t xml:space="preserve"> врач</w:t>
            </w:r>
          </w:p>
          <w:p w14:paraId="63D9100E" w14:textId="77777777" w:rsidR="00215BD5" w:rsidRPr="00215BD5" w:rsidRDefault="00215BD5" w:rsidP="003C7D40">
            <w:pPr>
              <w:rPr>
                <w:rFonts w:eastAsia="Calibri"/>
                <w:b/>
                <w:lang w:eastAsia="en-US"/>
              </w:rPr>
            </w:pPr>
          </w:p>
          <w:p w14:paraId="1949D925" w14:textId="18F72D50" w:rsidR="00215BD5" w:rsidRPr="00215BD5" w:rsidRDefault="00215BD5" w:rsidP="003C7D40">
            <w:pPr>
              <w:rPr>
                <w:rFonts w:eastAsia="Calibri"/>
                <w:b/>
                <w:lang w:eastAsia="en-US"/>
              </w:rPr>
            </w:pPr>
            <w:r w:rsidRPr="00215BD5">
              <w:rPr>
                <w:rFonts w:eastAsia="Calibri"/>
                <w:b/>
                <w:lang w:eastAsia="en-US"/>
              </w:rPr>
              <w:t>_____________________</w:t>
            </w:r>
            <w:r w:rsidR="00D4116B">
              <w:rPr>
                <w:rFonts w:eastAsia="Calibri"/>
                <w:b/>
                <w:lang w:eastAsia="en-US"/>
              </w:rPr>
              <w:t xml:space="preserve">И.Е. </w:t>
            </w:r>
            <w:proofErr w:type="spellStart"/>
            <w:r w:rsidR="00D4116B">
              <w:rPr>
                <w:rFonts w:eastAsia="Calibri"/>
                <w:b/>
                <w:lang w:eastAsia="en-US"/>
              </w:rPr>
              <w:t>Косыркина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7D0630" w:rsidRDefault="00215BD5" w:rsidP="003C7D40">
            <w:pPr>
              <w:widowControl w:val="0"/>
              <w:suppressAutoHyphens/>
              <w:autoSpaceDN w:val="0"/>
              <w:jc w:val="both"/>
              <w:textAlignment w:val="baseline"/>
              <w:rPr>
                <w:rFonts w:eastAsia="Calibri"/>
                <w:b/>
                <w:lang w:eastAsia="en-US"/>
              </w:rPr>
            </w:pPr>
            <w:r w:rsidRPr="007D0630">
              <w:rPr>
                <w:rFonts w:eastAsia="Calibri"/>
                <w:b/>
                <w:lang w:eastAsia="en-US"/>
              </w:rPr>
              <w:t>Поставщик:</w:t>
            </w:r>
          </w:p>
          <w:p w14:paraId="14FDE168" w14:textId="77777777" w:rsidR="00215BD5" w:rsidRPr="007D0630" w:rsidRDefault="00215BD5" w:rsidP="003C7D40">
            <w:r w:rsidRPr="007D0630">
              <w:t xml:space="preserve">Место нахождения: </w:t>
            </w:r>
          </w:p>
          <w:p w14:paraId="6ABD1624" w14:textId="77777777" w:rsidR="00215BD5" w:rsidRPr="007D0630" w:rsidRDefault="00215BD5" w:rsidP="003C7D40">
            <w:r w:rsidRPr="007D0630">
              <w:t>ИНН:</w:t>
            </w:r>
          </w:p>
          <w:p w14:paraId="7307483B" w14:textId="77777777" w:rsidR="00215BD5" w:rsidRPr="007D0630" w:rsidRDefault="00215BD5" w:rsidP="003C7D40">
            <w:r w:rsidRPr="007D0630">
              <w:t>КПП:</w:t>
            </w:r>
          </w:p>
          <w:p w14:paraId="796AE183" w14:textId="77777777" w:rsidR="00215BD5" w:rsidRPr="007D0630" w:rsidRDefault="00215BD5" w:rsidP="003C7D40">
            <w:r w:rsidRPr="007D0630">
              <w:t>ОГРН:</w:t>
            </w:r>
          </w:p>
          <w:p w14:paraId="145A55F4" w14:textId="77777777" w:rsidR="00215BD5" w:rsidRPr="007D0630" w:rsidRDefault="00215BD5" w:rsidP="003C7D40">
            <w:pPr>
              <w:jc w:val="both"/>
            </w:pPr>
            <w:r w:rsidRPr="007D0630">
              <w:t>К/С:</w:t>
            </w:r>
          </w:p>
          <w:p w14:paraId="68A032C0" w14:textId="77777777" w:rsidR="00215BD5" w:rsidRPr="007D0630" w:rsidRDefault="00215BD5" w:rsidP="003C7D40">
            <w:pPr>
              <w:jc w:val="both"/>
            </w:pPr>
            <w:r w:rsidRPr="007D0630">
              <w:t>Банк:</w:t>
            </w:r>
          </w:p>
          <w:p w14:paraId="64C7EA08" w14:textId="77777777" w:rsidR="00215BD5" w:rsidRPr="007D0630" w:rsidRDefault="00215BD5" w:rsidP="003C7D40">
            <w:pPr>
              <w:jc w:val="both"/>
            </w:pPr>
            <w:r w:rsidRPr="007D0630">
              <w:t xml:space="preserve">БИК: </w:t>
            </w:r>
          </w:p>
          <w:p w14:paraId="646A1F87" w14:textId="77777777" w:rsidR="00215BD5" w:rsidRPr="007D0630" w:rsidRDefault="00215BD5" w:rsidP="003C7D40">
            <w:proofErr w:type="gramStart"/>
            <w:r w:rsidRPr="007D0630">
              <w:t>Р</w:t>
            </w:r>
            <w:proofErr w:type="gramEnd"/>
            <w:r w:rsidRPr="007D0630">
              <w:t xml:space="preserve">/С: </w:t>
            </w:r>
          </w:p>
          <w:p w14:paraId="56486A17" w14:textId="77777777" w:rsidR="00215BD5" w:rsidRPr="007D0630" w:rsidRDefault="00215BD5" w:rsidP="003C7D40">
            <w:pPr>
              <w:jc w:val="both"/>
              <w:rPr>
                <w:bCs/>
              </w:rPr>
            </w:pPr>
            <w:r w:rsidRPr="007D0630">
              <w:t xml:space="preserve">Электронная почта: </w:t>
            </w:r>
          </w:p>
          <w:p w14:paraId="331ACB59" w14:textId="77777777" w:rsidR="00215BD5" w:rsidRPr="007D0630"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D8202A" w:rsidRDefault="00215BD5" w:rsidP="003C7D40">
            <w:pPr>
              <w:keepNext/>
              <w:keepLines/>
              <w:widowControl w:val="0"/>
              <w:suppressAutoHyphens/>
              <w:autoSpaceDN w:val="0"/>
              <w:jc w:val="both"/>
              <w:textAlignment w:val="baseline"/>
              <w:outlineLvl w:val="2"/>
              <w:rPr>
                <w:rFonts w:eastAsia="Calibri"/>
                <w:lang w:eastAsia="en-US"/>
              </w:rPr>
            </w:pPr>
          </w:p>
          <w:p w14:paraId="358CCB7F" w14:textId="77777777" w:rsidR="00215BD5" w:rsidRPr="00D8202A" w:rsidRDefault="00215BD5" w:rsidP="003C7D40">
            <w:pPr>
              <w:widowControl w:val="0"/>
              <w:suppressAutoHyphens/>
              <w:autoSpaceDN w:val="0"/>
              <w:jc w:val="both"/>
              <w:textAlignment w:val="baseline"/>
              <w:rPr>
                <w:rFonts w:eastAsia="Calibri"/>
                <w:lang w:eastAsia="en-US"/>
              </w:rPr>
            </w:pPr>
            <w:r w:rsidRPr="00D8202A">
              <w:rPr>
                <w:rFonts w:eastAsia="Calibri"/>
                <w:lang w:eastAsia="en-US"/>
              </w:rPr>
              <w:t>___________________/ __________/</w:t>
            </w:r>
          </w:p>
          <w:p w14:paraId="7567A2D9" w14:textId="77777777" w:rsidR="00215BD5" w:rsidRPr="00D8202A" w:rsidRDefault="00215BD5" w:rsidP="003C7D40">
            <w:pPr>
              <w:widowControl w:val="0"/>
              <w:suppressAutoHyphens/>
              <w:autoSpaceDN w:val="0"/>
              <w:jc w:val="both"/>
              <w:textAlignment w:val="baseline"/>
              <w:rPr>
                <w:rFonts w:eastAsia="Calibri"/>
                <w:lang w:eastAsia="en-US"/>
              </w:rPr>
            </w:pPr>
            <w:bookmarkStart w:id="10" w:name="_GoBack"/>
            <w:bookmarkEnd w:id="10"/>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292CC379"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68076AF4" w:rsidR="00215BD5" w:rsidRPr="00215BD5" w:rsidRDefault="00D4116B" w:rsidP="00215BD5">
      <w:pPr>
        <w:rPr>
          <w:rFonts w:eastAsia="Calibri"/>
          <w:b/>
          <w:lang w:eastAsia="en-US"/>
        </w:rPr>
      </w:pPr>
      <w:r>
        <w:rPr>
          <w:rFonts w:eastAsia="Calibri"/>
          <w:b/>
          <w:lang w:eastAsia="en-US"/>
        </w:rPr>
        <w:t xml:space="preserve"> Главный</w:t>
      </w:r>
      <w:r w:rsidR="00215BD5" w:rsidRPr="00215BD5">
        <w:rPr>
          <w:rFonts w:eastAsia="Calibri"/>
          <w:b/>
          <w:lang w:eastAsia="en-US"/>
        </w:rPr>
        <w:t xml:space="preserve"> врач</w:t>
      </w:r>
    </w:p>
    <w:p w14:paraId="7B54485B" w14:textId="77777777" w:rsidR="00215BD5" w:rsidRPr="00215BD5" w:rsidRDefault="00215BD5" w:rsidP="00215BD5">
      <w:pPr>
        <w:rPr>
          <w:rFonts w:eastAsia="Calibri"/>
          <w:b/>
          <w:lang w:eastAsia="en-US"/>
        </w:rPr>
      </w:pPr>
    </w:p>
    <w:p w14:paraId="6B68C9FC" w14:textId="78A1247E"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_________________________</w:t>
      </w:r>
      <w:r w:rsidR="00D4116B">
        <w:rPr>
          <w:rFonts w:eastAsia="Calibri"/>
          <w:b/>
          <w:kern w:val="3"/>
        </w:rPr>
        <w:t xml:space="preserve">И.Е. </w:t>
      </w:r>
      <w:proofErr w:type="spellStart"/>
      <w:r w:rsidR="00D4116B">
        <w:rPr>
          <w:rFonts w:eastAsia="Calibri"/>
          <w:b/>
          <w:kern w:val="3"/>
        </w:rPr>
        <w:t>Косыркина</w:t>
      </w:r>
      <w:proofErr w:type="spellEnd"/>
      <w:r w:rsidRPr="007D0630">
        <w:rPr>
          <w:rFonts w:eastAsia="Calibri"/>
          <w:kern w:val="3"/>
        </w:rPr>
        <w:t xml:space="preserve">      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1D4CEA00"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4594B788" w:rsidR="00215BD5" w:rsidRPr="00215BD5" w:rsidRDefault="00D4116B" w:rsidP="00215BD5">
      <w:pPr>
        <w:rPr>
          <w:rFonts w:eastAsia="Calibri"/>
          <w:b/>
          <w:lang w:eastAsia="en-US"/>
        </w:rPr>
      </w:pPr>
      <w:r>
        <w:rPr>
          <w:rFonts w:eastAsia="Calibri"/>
          <w:b/>
          <w:lang w:eastAsia="en-US"/>
        </w:rPr>
        <w:t xml:space="preserve"> Главный</w:t>
      </w:r>
      <w:r w:rsidR="00215BD5" w:rsidRPr="00215BD5">
        <w:rPr>
          <w:rFonts w:eastAsia="Calibri"/>
          <w:b/>
          <w:lang w:eastAsia="en-US"/>
        </w:rPr>
        <w:t xml:space="preserve"> врач</w:t>
      </w:r>
    </w:p>
    <w:p w14:paraId="4C4713F6" w14:textId="77777777" w:rsidR="00215BD5" w:rsidRPr="00215BD5" w:rsidRDefault="00215BD5" w:rsidP="00215BD5">
      <w:pPr>
        <w:rPr>
          <w:rFonts w:eastAsia="Calibri"/>
          <w:b/>
          <w:lang w:eastAsia="en-US"/>
        </w:rPr>
      </w:pPr>
    </w:p>
    <w:p w14:paraId="5DD5973D" w14:textId="0C79CCCF"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_________________________</w:t>
      </w:r>
      <w:r w:rsidR="00D4116B">
        <w:rPr>
          <w:rFonts w:eastAsia="Calibri"/>
          <w:b/>
          <w:kern w:val="3"/>
        </w:rPr>
        <w:t xml:space="preserve">И.Е. </w:t>
      </w:r>
      <w:proofErr w:type="spellStart"/>
      <w:r w:rsidR="00D4116B">
        <w:rPr>
          <w:rFonts w:eastAsia="Calibri"/>
          <w:b/>
          <w:kern w:val="3"/>
        </w:rPr>
        <w:t>Косыркина</w:t>
      </w:r>
      <w:proofErr w:type="spellEnd"/>
      <w:r w:rsidRPr="00215BD5">
        <w:rPr>
          <w:rFonts w:eastAsia="Calibri"/>
          <w:kern w:val="3"/>
        </w:rPr>
        <w:t xml:space="preserve">      </w:t>
      </w:r>
      <w:r w:rsidRPr="007D0630">
        <w:rPr>
          <w:rFonts w:eastAsia="Calibri"/>
          <w:kern w:val="3"/>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F428" w14:textId="77777777" w:rsidR="00E77327" w:rsidRDefault="00E77327">
      <w:r>
        <w:separator/>
      </w:r>
    </w:p>
  </w:endnote>
  <w:endnote w:type="continuationSeparator" w:id="0">
    <w:p w14:paraId="5595D1B4" w14:textId="77777777" w:rsidR="00E77327" w:rsidRDefault="00E7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74011E" w:rsidRDefault="0074011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4011E" w:rsidRDefault="007401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74011E" w:rsidRDefault="0074011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6234A">
      <w:rPr>
        <w:rStyle w:val="ae"/>
        <w:noProof/>
      </w:rPr>
      <w:t>27</w:t>
    </w:r>
    <w:r>
      <w:rPr>
        <w:rStyle w:val="ae"/>
      </w:rPr>
      <w:fldChar w:fldCharType="end"/>
    </w:r>
  </w:p>
  <w:p w14:paraId="321017E2" w14:textId="77777777" w:rsidR="0074011E" w:rsidRDefault="007401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C97A" w14:textId="77777777" w:rsidR="00E77327" w:rsidRDefault="00E77327">
      <w:r>
        <w:separator/>
      </w:r>
    </w:p>
  </w:footnote>
  <w:footnote w:type="continuationSeparator" w:id="0">
    <w:p w14:paraId="7D92DC3F" w14:textId="77777777" w:rsidR="00E77327" w:rsidRDefault="00E77327">
      <w:r>
        <w:continuationSeparator/>
      </w:r>
    </w:p>
  </w:footnote>
  <w:footnote w:id="1">
    <w:p w14:paraId="4C2E09C6" w14:textId="77777777" w:rsidR="0074011E" w:rsidRPr="004A0134" w:rsidRDefault="0074011E"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6AD8"/>
    <w:rsid w:val="00031462"/>
    <w:rsid w:val="00034EF9"/>
    <w:rsid w:val="00035165"/>
    <w:rsid w:val="000377D4"/>
    <w:rsid w:val="00041EA9"/>
    <w:rsid w:val="00045DC8"/>
    <w:rsid w:val="0004646E"/>
    <w:rsid w:val="00052BB3"/>
    <w:rsid w:val="000539B4"/>
    <w:rsid w:val="000557BC"/>
    <w:rsid w:val="00056BBD"/>
    <w:rsid w:val="00057242"/>
    <w:rsid w:val="000667F0"/>
    <w:rsid w:val="00070452"/>
    <w:rsid w:val="00072870"/>
    <w:rsid w:val="00075D85"/>
    <w:rsid w:val="00080B30"/>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0F5"/>
    <w:rsid w:val="000E5F51"/>
    <w:rsid w:val="000F08C9"/>
    <w:rsid w:val="000F2FA8"/>
    <w:rsid w:val="000F5223"/>
    <w:rsid w:val="00102098"/>
    <w:rsid w:val="0011130E"/>
    <w:rsid w:val="00114FBB"/>
    <w:rsid w:val="00120009"/>
    <w:rsid w:val="00121EAD"/>
    <w:rsid w:val="00122AF9"/>
    <w:rsid w:val="00126C6D"/>
    <w:rsid w:val="00127DC1"/>
    <w:rsid w:val="00131C12"/>
    <w:rsid w:val="00131F08"/>
    <w:rsid w:val="00132A0C"/>
    <w:rsid w:val="001350FE"/>
    <w:rsid w:val="00136B90"/>
    <w:rsid w:val="00137977"/>
    <w:rsid w:val="001404EB"/>
    <w:rsid w:val="00145334"/>
    <w:rsid w:val="00150AF6"/>
    <w:rsid w:val="00153601"/>
    <w:rsid w:val="001544B1"/>
    <w:rsid w:val="0015698A"/>
    <w:rsid w:val="001578FB"/>
    <w:rsid w:val="00165737"/>
    <w:rsid w:val="001725C1"/>
    <w:rsid w:val="00182233"/>
    <w:rsid w:val="00185DC7"/>
    <w:rsid w:val="001867F2"/>
    <w:rsid w:val="001900EC"/>
    <w:rsid w:val="001A19E1"/>
    <w:rsid w:val="001A2C20"/>
    <w:rsid w:val="001A306D"/>
    <w:rsid w:val="001A54D0"/>
    <w:rsid w:val="001B0E87"/>
    <w:rsid w:val="001B2794"/>
    <w:rsid w:val="001B4E89"/>
    <w:rsid w:val="001C257A"/>
    <w:rsid w:val="001C2C0F"/>
    <w:rsid w:val="001C38B5"/>
    <w:rsid w:val="001C7E11"/>
    <w:rsid w:val="001D164A"/>
    <w:rsid w:val="001D1692"/>
    <w:rsid w:val="001D37D8"/>
    <w:rsid w:val="001D4B82"/>
    <w:rsid w:val="001D5B0D"/>
    <w:rsid w:val="001D6CCB"/>
    <w:rsid w:val="001E0E6A"/>
    <w:rsid w:val="001E4130"/>
    <w:rsid w:val="001E64F3"/>
    <w:rsid w:val="001E7778"/>
    <w:rsid w:val="001F01BC"/>
    <w:rsid w:val="001F0742"/>
    <w:rsid w:val="001F43B0"/>
    <w:rsid w:val="002046C2"/>
    <w:rsid w:val="0021086A"/>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41B"/>
    <w:rsid w:val="002B08C7"/>
    <w:rsid w:val="002B2AA3"/>
    <w:rsid w:val="002B34BF"/>
    <w:rsid w:val="002B691E"/>
    <w:rsid w:val="002C5609"/>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E3C3A"/>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276D"/>
    <w:rsid w:val="004F55E5"/>
    <w:rsid w:val="004F5D07"/>
    <w:rsid w:val="00502F6B"/>
    <w:rsid w:val="005030CB"/>
    <w:rsid w:val="005032AE"/>
    <w:rsid w:val="00505086"/>
    <w:rsid w:val="00510BC3"/>
    <w:rsid w:val="00516D40"/>
    <w:rsid w:val="00537B97"/>
    <w:rsid w:val="00542CCD"/>
    <w:rsid w:val="00554087"/>
    <w:rsid w:val="00555C27"/>
    <w:rsid w:val="00561678"/>
    <w:rsid w:val="005632BA"/>
    <w:rsid w:val="0056434F"/>
    <w:rsid w:val="00566578"/>
    <w:rsid w:val="00567B00"/>
    <w:rsid w:val="00572FE8"/>
    <w:rsid w:val="00574162"/>
    <w:rsid w:val="005756CD"/>
    <w:rsid w:val="00575973"/>
    <w:rsid w:val="00577AAD"/>
    <w:rsid w:val="00584E98"/>
    <w:rsid w:val="00594B8D"/>
    <w:rsid w:val="00594DF8"/>
    <w:rsid w:val="005A2AAF"/>
    <w:rsid w:val="005B1155"/>
    <w:rsid w:val="005B293A"/>
    <w:rsid w:val="005B3C46"/>
    <w:rsid w:val="005C0DD3"/>
    <w:rsid w:val="005C4FF0"/>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5BA8"/>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3AD6"/>
    <w:rsid w:val="00724CB7"/>
    <w:rsid w:val="00733C6F"/>
    <w:rsid w:val="00737639"/>
    <w:rsid w:val="0074011E"/>
    <w:rsid w:val="00743615"/>
    <w:rsid w:val="0075001B"/>
    <w:rsid w:val="007550C5"/>
    <w:rsid w:val="007564BC"/>
    <w:rsid w:val="007616B3"/>
    <w:rsid w:val="0076234A"/>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0630"/>
    <w:rsid w:val="007D400D"/>
    <w:rsid w:val="007E091D"/>
    <w:rsid w:val="007E0BB6"/>
    <w:rsid w:val="007E1421"/>
    <w:rsid w:val="007E3118"/>
    <w:rsid w:val="007E39F0"/>
    <w:rsid w:val="007E3C41"/>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386"/>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3187"/>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982"/>
    <w:rsid w:val="00B12F91"/>
    <w:rsid w:val="00B141AF"/>
    <w:rsid w:val="00B145D6"/>
    <w:rsid w:val="00B248CF"/>
    <w:rsid w:val="00B25AA4"/>
    <w:rsid w:val="00B25FE3"/>
    <w:rsid w:val="00B30957"/>
    <w:rsid w:val="00B31E80"/>
    <w:rsid w:val="00B322FF"/>
    <w:rsid w:val="00B330B3"/>
    <w:rsid w:val="00B334FE"/>
    <w:rsid w:val="00B42D2B"/>
    <w:rsid w:val="00B44678"/>
    <w:rsid w:val="00B45D16"/>
    <w:rsid w:val="00B45D73"/>
    <w:rsid w:val="00B4680B"/>
    <w:rsid w:val="00B472EA"/>
    <w:rsid w:val="00B50DAA"/>
    <w:rsid w:val="00B51276"/>
    <w:rsid w:val="00B51403"/>
    <w:rsid w:val="00B54C5A"/>
    <w:rsid w:val="00B565C2"/>
    <w:rsid w:val="00B7029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1798"/>
    <w:rsid w:val="00BB226B"/>
    <w:rsid w:val="00BC39DF"/>
    <w:rsid w:val="00BC411F"/>
    <w:rsid w:val="00BC4F78"/>
    <w:rsid w:val="00BC5729"/>
    <w:rsid w:val="00BE12FC"/>
    <w:rsid w:val="00BE4360"/>
    <w:rsid w:val="00BE4365"/>
    <w:rsid w:val="00BE7F83"/>
    <w:rsid w:val="00BF0708"/>
    <w:rsid w:val="00BF2B20"/>
    <w:rsid w:val="00BF3B1D"/>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2F66"/>
    <w:rsid w:val="00CF30B8"/>
    <w:rsid w:val="00CF3C0C"/>
    <w:rsid w:val="00D00437"/>
    <w:rsid w:val="00D0113A"/>
    <w:rsid w:val="00D01857"/>
    <w:rsid w:val="00D073B6"/>
    <w:rsid w:val="00D07EB0"/>
    <w:rsid w:val="00D13FCC"/>
    <w:rsid w:val="00D14CA1"/>
    <w:rsid w:val="00D2232F"/>
    <w:rsid w:val="00D23331"/>
    <w:rsid w:val="00D3063A"/>
    <w:rsid w:val="00D315BD"/>
    <w:rsid w:val="00D32D66"/>
    <w:rsid w:val="00D34B2F"/>
    <w:rsid w:val="00D361EB"/>
    <w:rsid w:val="00D37426"/>
    <w:rsid w:val="00D4116B"/>
    <w:rsid w:val="00D41E90"/>
    <w:rsid w:val="00D60420"/>
    <w:rsid w:val="00D6279D"/>
    <w:rsid w:val="00D74CAC"/>
    <w:rsid w:val="00D7628E"/>
    <w:rsid w:val="00D8202A"/>
    <w:rsid w:val="00D90C00"/>
    <w:rsid w:val="00D918DD"/>
    <w:rsid w:val="00D91CDD"/>
    <w:rsid w:val="00D93935"/>
    <w:rsid w:val="00D95DE5"/>
    <w:rsid w:val="00DA53DE"/>
    <w:rsid w:val="00DB1638"/>
    <w:rsid w:val="00DB1E59"/>
    <w:rsid w:val="00DB5D20"/>
    <w:rsid w:val="00DC3972"/>
    <w:rsid w:val="00DD0B75"/>
    <w:rsid w:val="00DD1DE1"/>
    <w:rsid w:val="00DE306C"/>
    <w:rsid w:val="00DE4B53"/>
    <w:rsid w:val="00DE5CD6"/>
    <w:rsid w:val="00DF0FE2"/>
    <w:rsid w:val="00DF1E7D"/>
    <w:rsid w:val="00DF6E47"/>
    <w:rsid w:val="00E06902"/>
    <w:rsid w:val="00E07158"/>
    <w:rsid w:val="00E0764D"/>
    <w:rsid w:val="00E11CDB"/>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0092"/>
    <w:rsid w:val="00E64F2F"/>
    <w:rsid w:val="00E721A6"/>
    <w:rsid w:val="00E770C5"/>
    <w:rsid w:val="00E77327"/>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D3497"/>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10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358D"/>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43F1"/>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CA5"/>
    <w:rsid w:val="000D3F55"/>
    <w:rsid w:val="0013602A"/>
    <w:rsid w:val="001A7E53"/>
    <w:rsid w:val="002A174D"/>
    <w:rsid w:val="00370702"/>
    <w:rsid w:val="003A45C9"/>
    <w:rsid w:val="00455D5A"/>
    <w:rsid w:val="005B0BF9"/>
    <w:rsid w:val="006924E2"/>
    <w:rsid w:val="006D338E"/>
    <w:rsid w:val="009F0FB6"/>
    <w:rsid w:val="00AE66AE"/>
    <w:rsid w:val="00B1546B"/>
    <w:rsid w:val="00C90987"/>
    <w:rsid w:val="00D66188"/>
    <w:rsid w:val="00D828A1"/>
    <w:rsid w:val="00E84B33"/>
    <w:rsid w:val="00EB4FD4"/>
    <w:rsid w:val="00FB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256A2-BA8F-4372-82EC-586AB285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29</Pages>
  <Words>15695</Words>
  <Characters>89465</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104951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47</cp:revision>
  <cp:lastPrinted>2022-09-12T07:07:00Z</cp:lastPrinted>
  <dcterms:created xsi:type="dcterms:W3CDTF">2021-03-17T04:25:00Z</dcterms:created>
  <dcterms:modified xsi:type="dcterms:W3CDTF">2022-09-12T07:09:00Z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9.Маркер перманентный черный круглый 1мм.Маркер перманентный тонкий круглый 1мм черный..10.Ручка шариковая синяя маслянная.Ручка шариковая, синий стержень, масляная..11.Ручка гелевая черная.Ручка гелевая черный стержень..12.Ножницы резиновые кольца, длин</vt:lpwstr>
  </property>
</Properties>
</file>